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E9" w:rsidRDefault="0063268C" w:rsidP="007A68F5">
      <w:bookmarkStart w:id="0" w:name="_GoBack"/>
      <w:bookmarkEnd w:id="0"/>
      <w:r>
        <w:rPr>
          <w:noProof/>
          <w:lang w:eastAsia="nl-NL"/>
        </w:rPr>
        <mc:AlternateContent>
          <mc:Choice Requires="wps">
            <w:drawing>
              <wp:anchor distT="0" distB="0" distL="114300" distR="114300" simplePos="0" relativeHeight="251665408" behindDoc="0" locked="0" layoutInCell="1" allowOverlap="1" wp14:anchorId="102C8B81" wp14:editId="17F09A73">
                <wp:simplePos x="0" y="0"/>
                <wp:positionH relativeFrom="column">
                  <wp:posOffset>2540</wp:posOffset>
                </wp:positionH>
                <wp:positionV relativeFrom="paragraph">
                  <wp:posOffset>-104775</wp:posOffset>
                </wp:positionV>
                <wp:extent cx="5694045" cy="6231255"/>
                <wp:effectExtent l="57150" t="38100" r="59055" b="74295"/>
                <wp:wrapNone/>
                <wp:docPr id="4" name="Tekstvak 4"/>
                <wp:cNvGraphicFramePr/>
                <a:graphic xmlns:a="http://schemas.openxmlformats.org/drawingml/2006/main">
                  <a:graphicData uri="http://schemas.microsoft.com/office/word/2010/wordprocessingShape">
                    <wps:wsp>
                      <wps:cNvSpPr txBox="1"/>
                      <wps:spPr>
                        <a:xfrm>
                          <a:off x="0" y="0"/>
                          <a:ext cx="5694045" cy="6231255"/>
                        </a:xfrm>
                        <a:prstGeom prst="rect">
                          <a:avLst/>
                        </a:prstGeom>
                        <a:ln>
                          <a:noFill/>
                        </a:ln>
                      </wps:spPr>
                      <wps:style>
                        <a:lnRef idx="1">
                          <a:schemeClr val="accent1"/>
                        </a:lnRef>
                        <a:fillRef idx="2">
                          <a:schemeClr val="accent1"/>
                        </a:fillRef>
                        <a:effectRef idx="1">
                          <a:schemeClr val="accent1"/>
                        </a:effectRef>
                        <a:fontRef idx="minor">
                          <a:schemeClr val="dk1"/>
                        </a:fontRef>
                      </wps:style>
                      <wps:txbx>
                        <w:txbxContent>
                          <w:p w:rsidR="0063268C" w:rsidRDefault="001C6073" w:rsidP="0063268C">
                            <w:pPr>
                              <w:rPr>
                                <w:lang w:val="en-GB"/>
                              </w:rPr>
                            </w:pPr>
                            <w:r>
                              <w:rPr>
                                <w:b/>
                                <w:color w:val="548DD4" w:themeColor="text2" w:themeTint="99"/>
                                <w:sz w:val="24"/>
                                <w:szCs w:val="24"/>
                                <w:lang w:val="en-GB"/>
                              </w:rPr>
                              <w:t xml:space="preserve">  </w:t>
                            </w:r>
                            <w:r w:rsidR="0063268C" w:rsidRPr="00124D24">
                              <w:rPr>
                                <w:lang w:val="en-GB"/>
                              </w:rPr>
                              <w:t>You will be aware that</w:t>
                            </w:r>
                            <w:r w:rsidR="0063268C">
                              <w:rPr>
                                <w:lang w:val="en-GB"/>
                              </w:rPr>
                              <w:t>,</w:t>
                            </w:r>
                            <w:r w:rsidR="0063268C" w:rsidRPr="00124D24">
                              <w:rPr>
                                <w:lang w:val="en-GB"/>
                              </w:rPr>
                              <w:t xml:space="preserve"> in addition to the</w:t>
                            </w:r>
                            <w:r w:rsidR="0063268C">
                              <w:rPr>
                                <w:lang w:val="en-GB"/>
                              </w:rPr>
                              <w:t xml:space="preserve"> monthly rent, </w:t>
                            </w:r>
                            <w:r w:rsidR="0063268C">
                              <w:rPr>
                                <w:lang w:val="en-GB"/>
                              </w:rPr>
                              <w:t xml:space="preserve"> </w:t>
                            </w:r>
                            <w:r w:rsidR="0063268C">
                              <w:rPr>
                                <w:lang w:val="en-GB"/>
                              </w:rPr>
                              <w:t xml:space="preserve">you are paying  a monthly  </w:t>
                            </w:r>
                            <w:r w:rsidR="0063268C" w:rsidRPr="00124D24">
                              <w:rPr>
                                <w:lang w:val="en-GB"/>
                              </w:rPr>
                              <w:t xml:space="preserve">advance  </w:t>
                            </w:r>
                            <w:r w:rsidR="0063268C">
                              <w:rPr>
                                <w:lang w:val="en-GB"/>
                              </w:rPr>
                              <w:t>(70 euro) for t</w:t>
                            </w:r>
                            <w:r w:rsidR="0063268C" w:rsidRPr="00124D24">
                              <w:rPr>
                                <w:lang w:val="en-GB"/>
                              </w:rPr>
                              <w:t xml:space="preserve">he </w:t>
                            </w:r>
                            <w:r w:rsidR="0063268C">
                              <w:rPr>
                                <w:lang w:val="en-GB"/>
                              </w:rPr>
                              <w:t xml:space="preserve">costs pertaining to </w:t>
                            </w:r>
                            <w:r w:rsidR="0063268C" w:rsidRPr="00124D24">
                              <w:rPr>
                                <w:lang w:val="en-GB"/>
                              </w:rPr>
                              <w:t xml:space="preserve">common services and </w:t>
                            </w:r>
                            <w:r w:rsidR="0063268C">
                              <w:rPr>
                                <w:lang w:val="en-GB"/>
                              </w:rPr>
                              <w:t xml:space="preserve">common </w:t>
                            </w:r>
                            <w:r w:rsidR="0063268C" w:rsidRPr="00124D24">
                              <w:rPr>
                                <w:lang w:val="en-GB"/>
                              </w:rPr>
                              <w:t xml:space="preserve">installations, the so called service costs. </w:t>
                            </w:r>
                            <w:r w:rsidR="0063268C">
                              <w:rPr>
                                <w:lang w:val="en-GB"/>
                              </w:rPr>
                              <w:t xml:space="preserve">Final settlement of these advance payments occurs usually within 6 months after the passed calendar year.  The service costs bill for 2015 is now awaiting formal approval of </w:t>
                            </w:r>
                            <w:proofErr w:type="spellStart"/>
                            <w:r w:rsidR="0063268C">
                              <w:rPr>
                                <w:lang w:val="en-GB"/>
                              </w:rPr>
                              <w:t>Archipel</w:t>
                            </w:r>
                            <w:proofErr w:type="spellEnd"/>
                            <w:r w:rsidR="0063268C">
                              <w:rPr>
                                <w:lang w:val="en-GB"/>
                              </w:rPr>
                              <w:t xml:space="preserve"> and likely to be sent to each tenant in less than 1 or 2 weeks.  </w:t>
                            </w:r>
                          </w:p>
                          <w:p w:rsidR="00055D12" w:rsidRPr="0063268C" w:rsidRDefault="0063268C" w:rsidP="000C2B62">
                            <w:pPr>
                              <w:rPr>
                                <w:lang w:val="en-GB"/>
                              </w:rPr>
                            </w:pPr>
                            <w:r>
                              <w:rPr>
                                <w:lang w:val="en-GB"/>
                              </w:rPr>
                              <w:t xml:space="preserve">Prior to that, </w:t>
                            </w:r>
                            <w:proofErr w:type="spellStart"/>
                            <w:r>
                              <w:rPr>
                                <w:lang w:val="en-GB"/>
                              </w:rPr>
                              <w:t>Klankbord</w:t>
                            </w:r>
                            <w:proofErr w:type="spellEnd"/>
                            <w:r>
                              <w:rPr>
                                <w:lang w:val="en-GB"/>
                              </w:rPr>
                              <w:t xml:space="preserve"> </w:t>
                            </w:r>
                            <w:proofErr w:type="spellStart"/>
                            <w:r>
                              <w:rPr>
                                <w:lang w:val="en-GB"/>
                              </w:rPr>
                              <w:t>Warande</w:t>
                            </w:r>
                            <w:proofErr w:type="spellEnd"/>
                            <w:r>
                              <w:rPr>
                                <w:lang w:val="en-GB"/>
                              </w:rPr>
                              <w:t xml:space="preserve"> received  a copy to comment upon or raise questions, though as a tenant committee we have no formal role in the approval process. </w:t>
                            </w:r>
                            <w:r>
                              <w:rPr>
                                <w:lang w:val="en-GB"/>
                              </w:rPr>
                              <w:t xml:space="preserve"> </w:t>
                            </w:r>
                            <w:r>
                              <w:rPr>
                                <w:lang w:val="en-GB"/>
                              </w:rPr>
                              <w:t xml:space="preserve">As a result of the reviewing process  by </w:t>
                            </w:r>
                            <w:proofErr w:type="spellStart"/>
                            <w:r>
                              <w:rPr>
                                <w:lang w:val="en-GB"/>
                              </w:rPr>
                              <w:t>Klankbord</w:t>
                            </w:r>
                            <w:proofErr w:type="spellEnd"/>
                            <w:r>
                              <w:rPr>
                                <w:lang w:val="en-GB"/>
                              </w:rPr>
                              <w:t xml:space="preserve"> </w:t>
                            </w:r>
                            <w:proofErr w:type="spellStart"/>
                            <w:r>
                              <w:rPr>
                                <w:lang w:val="en-GB"/>
                              </w:rPr>
                              <w:t>Warande</w:t>
                            </w:r>
                            <w:proofErr w:type="spellEnd"/>
                            <w:r>
                              <w:rPr>
                                <w:lang w:val="en-GB"/>
                              </w:rPr>
                              <w:t xml:space="preserve">  you will find in the below table  a cost comparison between 2015 and 2014 with brief explanatory notes underneath.  Overall the service costs where below the planned budget which implies you will receive money back. The advanced payment  will remain unchanged for this year.  If you have been renting for the entire year 2015, you may expect to get around 125 euro reimbursed.  Some more related details, amongst other the estimated monthly savings produced by the introduced lighting management , are posted on the website page </w:t>
                            </w:r>
                            <w:hyperlink r:id="rId8" w:history="1">
                              <w:proofErr w:type="spellStart"/>
                              <w:r w:rsidRPr="00C32DCE">
                                <w:rPr>
                                  <w:rStyle w:val="Hyperlink"/>
                                  <w:lang w:val="en-GB"/>
                                </w:rPr>
                                <w:t>algemene</w:t>
                              </w:r>
                              <w:proofErr w:type="spellEnd"/>
                              <w:r w:rsidRPr="00C32DCE">
                                <w:rPr>
                                  <w:rStyle w:val="Hyperlink"/>
                                  <w:lang w:val="en-GB"/>
                                </w:rPr>
                                <w:t xml:space="preserve"> </w:t>
                              </w:r>
                              <w:proofErr w:type="spellStart"/>
                              <w:r w:rsidRPr="00C32DCE">
                                <w:rPr>
                                  <w:rStyle w:val="Hyperlink"/>
                                  <w:lang w:val="en-GB"/>
                                </w:rPr>
                                <w:t>verlichting</w:t>
                              </w:r>
                              <w:proofErr w:type="spellEnd"/>
                            </w:hyperlink>
                            <w:r>
                              <w:rPr>
                                <w:lang w:val="en-GB"/>
                              </w:rPr>
                              <w:t>, however this page is av</w:t>
                            </w:r>
                            <w:r>
                              <w:rPr>
                                <w:lang w:val="en-GB"/>
                              </w:rPr>
                              <w:t>ailable in Dutch language only.</w:t>
                            </w:r>
                          </w:p>
                          <w:p w:rsidR="00E44AE1" w:rsidRPr="0063268C" w:rsidRDefault="0063268C" w:rsidP="0063268C">
                            <w:pPr>
                              <w:jc w:val="both"/>
                              <w:rPr>
                                <w:b/>
                                <w:color w:val="548DD4" w:themeColor="text2" w:themeTint="99"/>
                                <w:sz w:val="24"/>
                                <w:szCs w:val="24"/>
                                <w:lang w:val="en-GB"/>
                              </w:rPr>
                            </w:pPr>
                            <w:r>
                              <w:rPr>
                                <w:b/>
                                <w:color w:val="548DD4" w:themeColor="text2" w:themeTint="99"/>
                                <w:sz w:val="24"/>
                                <w:szCs w:val="24"/>
                                <w:lang w:val="en-GB"/>
                              </w:rPr>
                              <w:t xml:space="preserve">      </w:t>
                            </w:r>
                          </w:p>
                          <w:tbl>
                            <w:tblPr>
                              <w:tblW w:w="8540" w:type="dxa"/>
                              <w:tblInd w:w="55" w:type="dxa"/>
                              <w:tblCellMar>
                                <w:left w:w="70" w:type="dxa"/>
                                <w:right w:w="70" w:type="dxa"/>
                              </w:tblCellMar>
                              <w:tblLook w:val="04A0" w:firstRow="1" w:lastRow="0" w:firstColumn="1" w:lastColumn="0" w:noHBand="0" w:noVBand="1"/>
                            </w:tblPr>
                            <w:tblGrid>
                              <w:gridCol w:w="703"/>
                              <w:gridCol w:w="2621"/>
                              <w:gridCol w:w="1272"/>
                              <w:gridCol w:w="1272"/>
                              <w:gridCol w:w="1905"/>
                              <w:gridCol w:w="872"/>
                            </w:tblGrid>
                            <w:tr w:rsidR="00055D12" w:rsidRPr="0063268C" w:rsidTr="00055D12">
                              <w:trPr>
                                <w:trHeight w:val="420"/>
                              </w:trPr>
                              <w:tc>
                                <w:tcPr>
                                  <w:tcW w:w="8540"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val="en-GB" w:eastAsia="nl-NL"/>
                                    </w:rPr>
                                  </w:pPr>
                                  <w:bookmarkStart w:id="1" w:name="RANGE!A1:F12"/>
                                  <w:r w:rsidRPr="00055D12">
                                    <w:rPr>
                                      <w:rFonts w:ascii="Calibri" w:eastAsia="Times New Roman" w:hAnsi="Calibri" w:cs="Times New Roman"/>
                                      <w:b/>
                                      <w:bCs/>
                                      <w:color w:val="000000"/>
                                      <w:sz w:val="24"/>
                                      <w:szCs w:val="24"/>
                                      <w:lang w:val="en-GB" w:eastAsia="nl-NL"/>
                                    </w:rPr>
                                    <w:t xml:space="preserve">COMPARISON OF COSTS  2015 - 2014. </w:t>
                                  </w:r>
                                  <w:r w:rsidRPr="00055D12">
                                    <w:rPr>
                                      <w:rFonts w:ascii="Calibri" w:eastAsia="Times New Roman" w:hAnsi="Calibri" w:cs="Times New Roman"/>
                                      <w:b/>
                                      <w:bCs/>
                                      <w:color w:val="FF0000"/>
                                      <w:sz w:val="24"/>
                                      <w:szCs w:val="24"/>
                                      <w:lang w:val="en-GB" w:eastAsia="nl-NL"/>
                                    </w:rPr>
                                    <w:t xml:space="preserve"> Draft status pending final approval</w:t>
                                  </w:r>
                                  <w:bookmarkEnd w:id="1"/>
                                </w:p>
                              </w:tc>
                            </w:tr>
                            <w:tr w:rsidR="00055D12" w:rsidRPr="00055D12" w:rsidTr="00055D12">
                              <w:trPr>
                                <w:trHeight w:val="450"/>
                              </w:trPr>
                              <w:tc>
                                <w:tcPr>
                                  <w:tcW w:w="655" w:type="dxa"/>
                                  <w:tcBorders>
                                    <w:top w:val="nil"/>
                                    <w:left w:val="single" w:sz="4" w:space="0" w:color="auto"/>
                                    <w:bottom w:val="single" w:sz="4" w:space="0" w:color="auto"/>
                                    <w:right w:val="single" w:sz="4" w:space="0" w:color="auto"/>
                                  </w:tcBorders>
                                  <w:shd w:val="clear" w:color="000000" w:fill="F2F2F2"/>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Group</w:t>
                                  </w:r>
                                </w:p>
                              </w:tc>
                              <w:tc>
                                <w:tcPr>
                                  <w:tcW w:w="2621" w:type="dxa"/>
                                  <w:tcBorders>
                                    <w:top w:val="nil"/>
                                    <w:left w:val="nil"/>
                                    <w:bottom w:val="single" w:sz="4" w:space="0" w:color="auto"/>
                                    <w:right w:val="single" w:sz="4" w:space="0" w:color="auto"/>
                                  </w:tcBorders>
                                  <w:shd w:val="clear" w:color="000000" w:fill="F2F2F2"/>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description</w:t>
                                  </w:r>
                                  <w:proofErr w:type="spellEnd"/>
                                </w:p>
                              </w:tc>
                              <w:tc>
                                <w:tcPr>
                                  <w:tcW w:w="1272"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year</w:t>
                                  </w:r>
                                  <w:proofErr w:type="spellEnd"/>
                                  <w:r w:rsidRPr="00055D12">
                                    <w:rPr>
                                      <w:rFonts w:ascii="Calibri" w:eastAsia="Times New Roman" w:hAnsi="Calibri" w:cs="Times New Roman"/>
                                      <w:color w:val="000000"/>
                                      <w:lang w:eastAsia="nl-NL"/>
                                    </w:rPr>
                                    <w:t xml:space="preserve"> 2015</w:t>
                                  </w:r>
                                </w:p>
                              </w:tc>
                              <w:tc>
                                <w:tcPr>
                                  <w:tcW w:w="1272"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year</w:t>
                                  </w:r>
                                  <w:proofErr w:type="spellEnd"/>
                                  <w:r w:rsidRPr="00055D12">
                                    <w:rPr>
                                      <w:rFonts w:ascii="Calibri" w:eastAsia="Times New Roman" w:hAnsi="Calibri" w:cs="Times New Roman"/>
                                      <w:color w:val="000000"/>
                                      <w:lang w:eastAsia="nl-NL"/>
                                    </w:rPr>
                                    <w:t xml:space="preserve"> 2014</w:t>
                                  </w:r>
                                </w:p>
                              </w:tc>
                              <w:tc>
                                <w:tcPr>
                                  <w:tcW w:w="1905"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increase</w:t>
                                  </w:r>
                                  <w:proofErr w:type="spellEnd"/>
                                  <w:r w:rsidRPr="00055D12">
                                    <w:rPr>
                                      <w:rFonts w:ascii="Calibri" w:eastAsia="Times New Roman" w:hAnsi="Calibri" w:cs="Times New Roman"/>
                                      <w:color w:val="000000"/>
                                      <w:lang w:eastAsia="nl-NL"/>
                                    </w:rPr>
                                    <w:t>/</w:t>
                                  </w:r>
                                  <w:proofErr w:type="spellStart"/>
                                  <w:r w:rsidRPr="00055D12">
                                    <w:rPr>
                                      <w:rFonts w:ascii="Calibri" w:eastAsia="Times New Roman" w:hAnsi="Calibri" w:cs="Times New Roman"/>
                                      <w:color w:val="000000"/>
                                      <w:lang w:eastAsia="nl-NL"/>
                                    </w:rPr>
                                    <w:t>decrease</w:t>
                                  </w:r>
                                  <w:proofErr w:type="spellEnd"/>
                                  <w:r w:rsidRPr="00055D12">
                                    <w:rPr>
                                      <w:rFonts w:ascii="Calibri" w:eastAsia="Times New Roman" w:hAnsi="Calibri" w:cs="Times New Roman"/>
                                      <w:color w:val="000000"/>
                                      <w:lang w:eastAsia="nl-NL"/>
                                    </w:rPr>
                                    <w:t xml:space="preserve"> </w:t>
                                  </w:r>
                                </w:p>
                              </w:tc>
                              <w:tc>
                                <w:tcPr>
                                  <w:tcW w:w="815"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xml:space="preserve"> %</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30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electricity</w:t>
                                  </w:r>
                                  <w:proofErr w:type="spellEnd"/>
                                  <w:r w:rsidRPr="00055D12">
                                    <w:rPr>
                                      <w:rFonts w:ascii="Calibri" w:eastAsia="Times New Roman" w:hAnsi="Calibri" w:cs="Times New Roman"/>
                                      <w:color w:val="000000"/>
                                      <w:lang w:eastAsia="nl-NL"/>
                                    </w:rPr>
                                    <w:t xml:space="preserve"> </w:t>
                                  </w:r>
                                  <w:proofErr w:type="spellStart"/>
                                  <w:r w:rsidRPr="00055D12">
                                    <w:rPr>
                                      <w:rFonts w:ascii="Calibri" w:eastAsia="Times New Roman" w:hAnsi="Calibri" w:cs="Times New Roman"/>
                                      <w:color w:val="000000"/>
                                      <w:lang w:eastAsia="nl-NL"/>
                                    </w:rPr>
                                    <w:t>costs</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€ 12.338</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€ 12.365</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-€ 27</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-0,2%</w:t>
                                  </w:r>
                                </w:p>
                              </w:tc>
                            </w:tr>
                            <w:tr w:rsidR="00055D12" w:rsidRPr="00055D12" w:rsidTr="00055D12">
                              <w:trPr>
                                <w:trHeight w:val="315"/>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40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xml:space="preserve">cleaning </w:t>
                                  </w:r>
                                  <w:proofErr w:type="spellStart"/>
                                  <w:r w:rsidRPr="00055D12">
                                    <w:rPr>
                                      <w:rFonts w:ascii="Calibri" w:eastAsia="Times New Roman" w:hAnsi="Calibri" w:cs="Times New Roman"/>
                                      <w:color w:val="000000"/>
                                      <w:lang w:eastAsia="nl-NL"/>
                                    </w:rPr>
                                    <w:t>contracts</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€ 10.950</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€ 10.839</w:t>
                                  </w:r>
                                </w:p>
                              </w:tc>
                              <w:tc>
                                <w:tcPr>
                                  <w:tcW w:w="190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€ 111</w:t>
                                  </w:r>
                                </w:p>
                              </w:tc>
                              <w:tc>
                                <w:tcPr>
                                  <w:tcW w:w="81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1%</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51</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central</w:t>
                                  </w:r>
                                  <w:proofErr w:type="spellEnd"/>
                                  <w:r w:rsidRPr="00055D12">
                                    <w:rPr>
                                      <w:rFonts w:ascii="Calibri" w:eastAsia="Times New Roman" w:hAnsi="Calibri" w:cs="Times New Roman"/>
                                      <w:color w:val="000000"/>
                                      <w:lang w:eastAsia="nl-NL"/>
                                    </w:rPr>
                                    <w:t xml:space="preserve"> </w:t>
                                  </w:r>
                                  <w:proofErr w:type="spellStart"/>
                                  <w:r w:rsidRPr="00055D12">
                                    <w:rPr>
                                      <w:rFonts w:ascii="Calibri" w:eastAsia="Times New Roman" w:hAnsi="Calibri" w:cs="Times New Roman"/>
                                      <w:color w:val="000000"/>
                                      <w:lang w:eastAsia="nl-NL"/>
                                    </w:rPr>
                                    <w:t>heating</w:t>
                                  </w:r>
                                  <w:proofErr w:type="spellEnd"/>
                                  <w:r w:rsidRPr="00055D12">
                                    <w:rPr>
                                      <w:rFonts w:ascii="Calibri" w:eastAsia="Times New Roman" w:hAnsi="Calibri" w:cs="Times New Roman"/>
                                      <w:color w:val="000000"/>
                                      <w:lang w:eastAsia="nl-NL"/>
                                    </w:rPr>
                                    <w:t xml:space="preserve"> system</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€ 1.186</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€ 2.035</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-€ 849</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-42%</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53</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elevators</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b/>
                                      <w:bCs/>
                                      <w:color w:val="FF0000"/>
                                      <w:lang w:eastAsia="nl-NL"/>
                                    </w:rPr>
                                  </w:pPr>
                                  <w:r w:rsidRPr="00055D12">
                                    <w:rPr>
                                      <w:rFonts w:ascii="Calibri" w:eastAsia="Times New Roman" w:hAnsi="Calibri" w:cs="Times New Roman"/>
                                      <w:b/>
                                      <w:bCs/>
                                      <w:color w:val="FF0000"/>
                                      <w:lang w:eastAsia="nl-NL"/>
                                    </w:rPr>
                                    <w:t>€ 2.701</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€ 2.476</w:t>
                                  </w:r>
                                </w:p>
                              </w:tc>
                              <w:tc>
                                <w:tcPr>
                                  <w:tcW w:w="190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€ 225</w:t>
                                  </w:r>
                                </w:p>
                              </w:tc>
                              <w:tc>
                                <w:tcPr>
                                  <w:tcW w:w="81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9%</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58</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replacement</w:t>
                                  </w:r>
                                  <w:proofErr w:type="spellEnd"/>
                                  <w:r w:rsidRPr="00055D12">
                                    <w:rPr>
                                      <w:rFonts w:ascii="Calibri" w:eastAsia="Times New Roman" w:hAnsi="Calibri" w:cs="Times New Roman"/>
                                      <w:color w:val="000000"/>
                                      <w:lang w:eastAsia="nl-NL"/>
                                    </w:rPr>
                                    <w:t xml:space="preserve"> of light </w:t>
                                  </w:r>
                                  <w:proofErr w:type="spellStart"/>
                                  <w:r w:rsidRPr="00055D12">
                                    <w:rPr>
                                      <w:rFonts w:ascii="Calibri" w:eastAsia="Times New Roman" w:hAnsi="Calibri" w:cs="Times New Roman"/>
                                      <w:color w:val="000000"/>
                                      <w:lang w:eastAsia="nl-NL"/>
                                    </w:rPr>
                                    <w:t>bulbs</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€ 237</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€ 1.169</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-€ 932</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-80%</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60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installations</w:t>
                                  </w:r>
                                  <w:proofErr w:type="spellEnd"/>
                                  <w:r w:rsidRPr="00055D12">
                                    <w:rPr>
                                      <w:rFonts w:ascii="Calibri" w:eastAsia="Times New Roman" w:hAnsi="Calibri" w:cs="Times New Roman"/>
                                      <w:color w:val="000000"/>
                                      <w:lang w:eastAsia="nl-NL"/>
                                    </w:rPr>
                                    <w:t>/</w:t>
                                  </w:r>
                                  <w:proofErr w:type="spellStart"/>
                                  <w:r w:rsidRPr="00055D12">
                                    <w:rPr>
                                      <w:rFonts w:ascii="Calibri" w:eastAsia="Times New Roman" w:hAnsi="Calibri" w:cs="Times New Roman"/>
                                      <w:color w:val="000000"/>
                                      <w:lang w:eastAsia="nl-NL"/>
                                    </w:rPr>
                                    <w:t>provisions</w:t>
                                  </w:r>
                                  <w:proofErr w:type="spellEnd"/>
                                  <w:r w:rsidRPr="00055D12">
                                    <w:rPr>
                                      <w:rFonts w:ascii="Calibri" w:eastAsia="Times New Roman" w:hAnsi="Calibri" w:cs="Times New Roman"/>
                                      <w:color w:val="000000"/>
                                      <w:lang w:eastAsia="nl-NL"/>
                                    </w:rPr>
                                    <w:t xml:space="preserve"> </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€ 2.960</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€ 2.929</w:t>
                                  </w:r>
                                </w:p>
                              </w:tc>
                              <w:tc>
                                <w:tcPr>
                                  <w:tcW w:w="190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€ 31</w:t>
                                  </w:r>
                                </w:p>
                              </w:tc>
                              <w:tc>
                                <w:tcPr>
                                  <w:tcW w:w="81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1%</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70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glass</w:t>
                                  </w:r>
                                  <w:proofErr w:type="spellEnd"/>
                                  <w:r w:rsidRPr="00055D12">
                                    <w:rPr>
                                      <w:rFonts w:ascii="Calibri" w:eastAsia="Times New Roman" w:hAnsi="Calibri" w:cs="Times New Roman"/>
                                      <w:color w:val="000000"/>
                                      <w:lang w:eastAsia="nl-NL"/>
                                    </w:rPr>
                                    <w:t xml:space="preserve"> </w:t>
                                  </w:r>
                                  <w:proofErr w:type="spellStart"/>
                                  <w:r w:rsidRPr="00055D12">
                                    <w:rPr>
                                      <w:rFonts w:ascii="Calibri" w:eastAsia="Times New Roman" w:hAnsi="Calibri" w:cs="Times New Roman"/>
                                      <w:color w:val="000000"/>
                                      <w:lang w:eastAsia="nl-NL"/>
                                    </w:rPr>
                                    <w:t>insurance</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€ 542</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€ 542</w:t>
                                  </w:r>
                                </w:p>
                              </w:tc>
                              <w:tc>
                                <w:tcPr>
                                  <w:tcW w:w="1905" w:type="dxa"/>
                                  <w:tcBorders>
                                    <w:top w:val="nil"/>
                                    <w:left w:val="nil"/>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€ 0</w:t>
                                  </w:r>
                                </w:p>
                              </w:tc>
                              <w:tc>
                                <w:tcPr>
                                  <w:tcW w:w="815" w:type="dxa"/>
                                  <w:tcBorders>
                                    <w:top w:val="nil"/>
                                    <w:left w:val="nil"/>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0%</w:t>
                                  </w:r>
                                </w:p>
                              </w:tc>
                            </w:tr>
                            <w:tr w:rsidR="00055D12" w:rsidRPr="00055D12" w:rsidTr="00055D12">
                              <w:trPr>
                                <w:trHeight w:val="405"/>
                              </w:trPr>
                              <w:tc>
                                <w:tcPr>
                                  <w:tcW w:w="3276"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055D12" w:rsidRPr="00055D12" w:rsidRDefault="00055D12" w:rsidP="00055D12">
                                  <w:pPr>
                                    <w:spacing w:after="0" w:line="240" w:lineRule="auto"/>
                                    <w:jc w:val="right"/>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xml:space="preserve"> </w:t>
                                  </w:r>
                                  <w:r w:rsidRPr="00055D12">
                                    <w:rPr>
                                      <w:rFonts w:ascii="Calibri" w:eastAsia="Times New Roman" w:hAnsi="Calibri" w:cs="Times New Roman"/>
                                      <w:b/>
                                      <w:bCs/>
                                      <w:color w:val="FF0000"/>
                                      <w:sz w:val="24"/>
                                      <w:szCs w:val="24"/>
                                      <w:lang w:eastAsia="nl-NL"/>
                                    </w:rPr>
                                    <w:t xml:space="preserve">PROVISIONAL  </w:t>
                                  </w:r>
                                  <w:r w:rsidRPr="00055D12">
                                    <w:rPr>
                                      <w:rFonts w:ascii="Calibri" w:eastAsia="Times New Roman" w:hAnsi="Calibri" w:cs="Times New Roman"/>
                                      <w:b/>
                                      <w:bCs/>
                                      <w:color w:val="000000"/>
                                      <w:sz w:val="24"/>
                                      <w:szCs w:val="24"/>
                                      <w:lang w:eastAsia="nl-NL"/>
                                    </w:rPr>
                                    <w:t xml:space="preserve"> TOTAL AMOUNT </w:t>
                                  </w:r>
                                </w:p>
                              </w:tc>
                              <w:tc>
                                <w:tcPr>
                                  <w:tcW w:w="1272" w:type="dxa"/>
                                  <w:tcBorders>
                                    <w:top w:val="nil"/>
                                    <w:left w:val="nil"/>
                                    <w:bottom w:val="single" w:sz="4" w:space="0" w:color="auto"/>
                                    <w:right w:val="single" w:sz="4" w:space="0" w:color="auto"/>
                                  </w:tcBorders>
                                  <w:shd w:val="clear" w:color="000000" w:fill="FFFF0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€ 30.915</w:t>
                                  </w:r>
                                </w:p>
                              </w:tc>
                              <w:tc>
                                <w:tcPr>
                                  <w:tcW w:w="1272" w:type="dxa"/>
                                  <w:tcBorders>
                                    <w:top w:val="nil"/>
                                    <w:left w:val="nil"/>
                                    <w:bottom w:val="single" w:sz="4" w:space="0" w:color="auto"/>
                                    <w:right w:val="single" w:sz="4" w:space="0" w:color="auto"/>
                                  </w:tcBorders>
                                  <w:shd w:val="clear" w:color="000000" w:fill="FFFF0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€ 32.354</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-€ 1.439</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-4%</w:t>
                                  </w:r>
                                </w:p>
                              </w:tc>
                            </w:tr>
                            <w:tr w:rsidR="00055D12" w:rsidRPr="00055D12" w:rsidTr="00055D12">
                              <w:trPr>
                                <w:trHeight w:val="210"/>
                              </w:trPr>
                              <w:tc>
                                <w:tcPr>
                                  <w:tcW w:w="655"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2621"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905" w:type="dxa"/>
                                  <w:tcBorders>
                                    <w:top w:val="nil"/>
                                    <w:left w:val="single" w:sz="4" w:space="0" w:color="auto"/>
                                    <w:bottom w:val="single" w:sz="4" w:space="0" w:color="auto"/>
                                    <w:right w:val="single" w:sz="4" w:space="0" w:color="auto"/>
                                  </w:tcBorders>
                                  <w:shd w:val="clear" w:color="000000" w:fill="92D050"/>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w:t>
                                  </w:r>
                                </w:p>
                              </w:tc>
                              <w:tc>
                                <w:tcPr>
                                  <w:tcW w:w="815"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sz w:val="20"/>
                                      <w:szCs w:val="20"/>
                                      <w:lang w:eastAsia="nl-NL"/>
                                    </w:rPr>
                                  </w:pPr>
                                  <w:proofErr w:type="spellStart"/>
                                  <w:r w:rsidRPr="00055D12">
                                    <w:rPr>
                                      <w:rFonts w:ascii="Calibri" w:eastAsia="Times New Roman" w:hAnsi="Calibri" w:cs="Times New Roman"/>
                                      <w:color w:val="000000"/>
                                      <w:sz w:val="20"/>
                                      <w:szCs w:val="20"/>
                                      <w:lang w:eastAsia="nl-NL"/>
                                    </w:rPr>
                                    <w:t>decrease</w:t>
                                  </w:r>
                                  <w:proofErr w:type="spellEnd"/>
                                </w:p>
                              </w:tc>
                            </w:tr>
                            <w:tr w:rsidR="00055D12" w:rsidRPr="00055D12" w:rsidTr="00055D12">
                              <w:trPr>
                                <w:trHeight w:val="210"/>
                              </w:trPr>
                              <w:tc>
                                <w:tcPr>
                                  <w:tcW w:w="655"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2621"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905" w:type="dxa"/>
                                  <w:tcBorders>
                                    <w:top w:val="nil"/>
                                    <w:left w:val="single" w:sz="4" w:space="0" w:color="auto"/>
                                    <w:bottom w:val="single" w:sz="4" w:space="0" w:color="auto"/>
                                    <w:right w:val="single" w:sz="4" w:space="0" w:color="auto"/>
                                  </w:tcBorders>
                                  <w:shd w:val="clear" w:color="000000" w:fill="FF0000"/>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w:t>
                                  </w:r>
                                </w:p>
                              </w:tc>
                              <w:tc>
                                <w:tcPr>
                                  <w:tcW w:w="815"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sz w:val="20"/>
                                      <w:szCs w:val="20"/>
                                      <w:lang w:eastAsia="nl-NL"/>
                                    </w:rPr>
                                  </w:pPr>
                                  <w:proofErr w:type="spellStart"/>
                                  <w:r w:rsidRPr="00055D12">
                                    <w:rPr>
                                      <w:rFonts w:ascii="Calibri" w:eastAsia="Times New Roman" w:hAnsi="Calibri" w:cs="Times New Roman"/>
                                      <w:color w:val="000000"/>
                                      <w:sz w:val="20"/>
                                      <w:szCs w:val="20"/>
                                      <w:lang w:eastAsia="nl-NL"/>
                                    </w:rPr>
                                    <w:t>increase</w:t>
                                  </w:r>
                                  <w:proofErr w:type="spellEnd"/>
                                </w:p>
                              </w:tc>
                            </w:tr>
                          </w:tbl>
                          <w:p w:rsidR="009F733C" w:rsidRPr="00E44AE1" w:rsidRDefault="009F733C">
                            <w:pPr>
                              <w:rPr>
                                <w:color w:val="548DD4" w:themeColor="text2" w:themeTint="99"/>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2pt;margin-top:-8.25pt;width:448.35pt;height:49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" fillcolor="#a7bfde [1620]" stroked="f">
                <v:fill color2="#e4ecf5 [500]" rotate="t" angle="180" colors="0 #a3c4ff;22938f #bfd5ff;1 #e5eeff" focus="100%" type="gradient"/>
                <v:shadow on="t" color="black" opacity="24903f" origin=",.5" offset="0,.55556mm"/>
                <v:textbox>
                  <w:txbxContent>
                    <w:p w:rsidR="0063268C" w:rsidRDefault="001C6073" w:rsidP="0063268C">
                      <w:pPr>
                        <w:rPr>
                          <w:lang w:val="en-GB"/>
                        </w:rPr>
                      </w:pPr>
                      <w:r>
                        <w:rPr>
                          <w:b/>
                          <w:color w:val="548DD4" w:themeColor="text2" w:themeTint="99"/>
                          <w:sz w:val="24"/>
                          <w:szCs w:val="24"/>
                          <w:lang w:val="en-GB"/>
                        </w:rPr>
                        <w:t xml:space="preserve">  </w:t>
                      </w:r>
                      <w:r w:rsidR="0063268C" w:rsidRPr="00124D24">
                        <w:rPr>
                          <w:lang w:val="en-GB"/>
                        </w:rPr>
                        <w:t>You will be aware that</w:t>
                      </w:r>
                      <w:r w:rsidR="0063268C">
                        <w:rPr>
                          <w:lang w:val="en-GB"/>
                        </w:rPr>
                        <w:t>,</w:t>
                      </w:r>
                      <w:r w:rsidR="0063268C" w:rsidRPr="00124D24">
                        <w:rPr>
                          <w:lang w:val="en-GB"/>
                        </w:rPr>
                        <w:t xml:space="preserve"> in addition to the</w:t>
                      </w:r>
                      <w:r w:rsidR="0063268C">
                        <w:rPr>
                          <w:lang w:val="en-GB"/>
                        </w:rPr>
                        <w:t xml:space="preserve"> monthly rent, </w:t>
                      </w:r>
                      <w:r w:rsidR="0063268C">
                        <w:rPr>
                          <w:lang w:val="en-GB"/>
                        </w:rPr>
                        <w:t xml:space="preserve"> </w:t>
                      </w:r>
                      <w:r w:rsidR="0063268C">
                        <w:rPr>
                          <w:lang w:val="en-GB"/>
                        </w:rPr>
                        <w:t xml:space="preserve">you are paying  a monthly  </w:t>
                      </w:r>
                      <w:r w:rsidR="0063268C" w:rsidRPr="00124D24">
                        <w:rPr>
                          <w:lang w:val="en-GB"/>
                        </w:rPr>
                        <w:t xml:space="preserve">advance  </w:t>
                      </w:r>
                      <w:r w:rsidR="0063268C">
                        <w:rPr>
                          <w:lang w:val="en-GB"/>
                        </w:rPr>
                        <w:t>(70 euro) for t</w:t>
                      </w:r>
                      <w:r w:rsidR="0063268C" w:rsidRPr="00124D24">
                        <w:rPr>
                          <w:lang w:val="en-GB"/>
                        </w:rPr>
                        <w:t xml:space="preserve">he </w:t>
                      </w:r>
                      <w:r w:rsidR="0063268C">
                        <w:rPr>
                          <w:lang w:val="en-GB"/>
                        </w:rPr>
                        <w:t xml:space="preserve">costs pertaining to </w:t>
                      </w:r>
                      <w:r w:rsidR="0063268C" w:rsidRPr="00124D24">
                        <w:rPr>
                          <w:lang w:val="en-GB"/>
                        </w:rPr>
                        <w:t xml:space="preserve">common services and </w:t>
                      </w:r>
                      <w:r w:rsidR="0063268C">
                        <w:rPr>
                          <w:lang w:val="en-GB"/>
                        </w:rPr>
                        <w:t xml:space="preserve">common </w:t>
                      </w:r>
                      <w:r w:rsidR="0063268C" w:rsidRPr="00124D24">
                        <w:rPr>
                          <w:lang w:val="en-GB"/>
                        </w:rPr>
                        <w:t xml:space="preserve">installations, the so called service costs. </w:t>
                      </w:r>
                      <w:r w:rsidR="0063268C">
                        <w:rPr>
                          <w:lang w:val="en-GB"/>
                        </w:rPr>
                        <w:t xml:space="preserve">Final settlement of these advance payments occurs usually within 6 months after the passed calendar year.  The service costs bill for 2015 is now awaiting formal approval of </w:t>
                      </w:r>
                      <w:proofErr w:type="spellStart"/>
                      <w:r w:rsidR="0063268C">
                        <w:rPr>
                          <w:lang w:val="en-GB"/>
                        </w:rPr>
                        <w:t>Archipel</w:t>
                      </w:r>
                      <w:proofErr w:type="spellEnd"/>
                      <w:r w:rsidR="0063268C">
                        <w:rPr>
                          <w:lang w:val="en-GB"/>
                        </w:rPr>
                        <w:t xml:space="preserve"> and likely to be sent to each tenant in less than 1 or 2 weeks.  </w:t>
                      </w:r>
                    </w:p>
                    <w:p w:rsidR="00055D12" w:rsidRPr="0063268C" w:rsidRDefault="0063268C" w:rsidP="000C2B62">
                      <w:pPr>
                        <w:rPr>
                          <w:lang w:val="en-GB"/>
                        </w:rPr>
                      </w:pPr>
                      <w:r>
                        <w:rPr>
                          <w:lang w:val="en-GB"/>
                        </w:rPr>
                        <w:t xml:space="preserve">Prior to that, </w:t>
                      </w:r>
                      <w:proofErr w:type="spellStart"/>
                      <w:r>
                        <w:rPr>
                          <w:lang w:val="en-GB"/>
                        </w:rPr>
                        <w:t>Klankbord</w:t>
                      </w:r>
                      <w:proofErr w:type="spellEnd"/>
                      <w:r>
                        <w:rPr>
                          <w:lang w:val="en-GB"/>
                        </w:rPr>
                        <w:t xml:space="preserve"> </w:t>
                      </w:r>
                      <w:proofErr w:type="spellStart"/>
                      <w:r>
                        <w:rPr>
                          <w:lang w:val="en-GB"/>
                        </w:rPr>
                        <w:t>Warande</w:t>
                      </w:r>
                      <w:proofErr w:type="spellEnd"/>
                      <w:r>
                        <w:rPr>
                          <w:lang w:val="en-GB"/>
                        </w:rPr>
                        <w:t xml:space="preserve"> received  a copy to comment upon or raise questions, though as a tenant committee we have no formal role in the approval process. </w:t>
                      </w:r>
                      <w:r>
                        <w:rPr>
                          <w:lang w:val="en-GB"/>
                        </w:rPr>
                        <w:t xml:space="preserve"> </w:t>
                      </w:r>
                      <w:r>
                        <w:rPr>
                          <w:lang w:val="en-GB"/>
                        </w:rPr>
                        <w:t xml:space="preserve">As a result of the reviewing process  by </w:t>
                      </w:r>
                      <w:proofErr w:type="spellStart"/>
                      <w:r>
                        <w:rPr>
                          <w:lang w:val="en-GB"/>
                        </w:rPr>
                        <w:t>Klankbord</w:t>
                      </w:r>
                      <w:proofErr w:type="spellEnd"/>
                      <w:r>
                        <w:rPr>
                          <w:lang w:val="en-GB"/>
                        </w:rPr>
                        <w:t xml:space="preserve"> </w:t>
                      </w:r>
                      <w:proofErr w:type="spellStart"/>
                      <w:r>
                        <w:rPr>
                          <w:lang w:val="en-GB"/>
                        </w:rPr>
                        <w:t>Warande</w:t>
                      </w:r>
                      <w:proofErr w:type="spellEnd"/>
                      <w:r>
                        <w:rPr>
                          <w:lang w:val="en-GB"/>
                        </w:rPr>
                        <w:t xml:space="preserve">  you will find in the below table  a cost comparison between 2015 and 2014 with brief explanatory notes underneath.  Overall the service costs where below the planned budget which implies you will receive money back. The advanced payment  will remain unchanged for this year.  If you have been renting for the entire year 2015, you may expect to get around 125 euro reimbursed.  Some more related details, amongst other the estimated monthly savings produced by the introduced lighting management , are posted on the website page </w:t>
                      </w:r>
                      <w:hyperlink r:id="rId9" w:history="1">
                        <w:proofErr w:type="spellStart"/>
                        <w:r w:rsidRPr="00C32DCE">
                          <w:rPr>
                            <w:rStyle w:val="Hyperlink"/>
                            <w:lang w:val="en-GB"/>
                          </w:rPr>
                          <w:t>algemene</w:t>
                        </w:r>
                        <w:proofErr w:type="spellEnd"/>
                        <w:r w:rsidRPr="00C32DCE">
                          <w:rPr>
                            <w:rStyle w:val="Hyperlink"/>
                            <w:lang w:val="en-GB"/>
                          </w:rPr>
                          <w:t xml:space="preserve"> </w:t>
                        </w:r>
                        <w:proofErr w:type="spellStart"/>
                        <w:r w:rsidRPr="00C32DCE">
                          <w:rPr>
                            <w:rStyle w:val="Hyperlink"/>
                            <w:lang w:val="en-GB"/>
                          </w:rPr>
                          <w:t>verlichting</w:t>
                        </w:r>
                        <w:proofErr w:type="spellEnd"/>
                      </w:hyperlink>
                      <w:r>
                        <w:rPr>
                          <w:lang w:val="en-GB"/>
                        </w:rPr>
                        <w:t>, however this page is av</w:t>
                      </w:r>
                      <w:r>
                        <w:rPr>
                          <w:lang w:val="en-GB"/>
                        </w:rPr>
                        <w:t>ailable in Dutch language only.</w:t>
                      </w:r>
                    </w:p>
                    <w:p w:rsidR="00E44AE1" w:rsidRPr="0063268C" w:rsidRDefault="0063268C" w:rsidP="0063268C">
                      <w:pPr>
                        <w:jc w:val="both"/>
                        <w:rPr>
                          <w:b/>
                          <w:color w:val="548DD4" w:themeColor="text2" w:themeTint="99"/>
                          <w:sz w:val="24"/>
                          <w:szCs w:val="24"/>
                          <w:lang w:val="en-GB"/>
                        </w:rPr>
                      </w:pPr>
                      <w:r>
                        <w:rPr>
                          <w:b/>
                          <w:color w:val="548DD4" w:themeColor="text2" w:themeTint="99"/>
                          <w:sz w:val="24"/>
                          <w:szCs w:val="24"/>
                          <w:lang w:val="en-GB"/>
                        </w:rPr>
                        <w:t xml:space="preserve">      </w:t>
                      </w:r>
                    </w:p>
                    <w:tbl>
                      <w:tblPr>
                        <w:tblW w:w="8540" w:type="dxa"/>
                        <w:tblInd w:w="55" w:type="dxa"/>
                        <w:tblCellMar>
                          <w:left w:w="70" w:type="dxa"/>
                          <w:right w:w="70" w:type="dxa"/>
                        </w:tblCellMar>
                        <w:tblLook w:val="04A0" w:firstRow="1" w:lastRow="0" w:firstColumn="1" w:lastColumn="0" w:noHBand="0" w:noVBand="1"/>
                      </w:tblPr>
                      <w:tblGrid>
                        <w:gridCol w:w="703"/>
                        <w:gridCol w:w="2621"/>
                        <w:gridCol w:w="1272"/>
                        <w:gridCol w:w="1272"/>
                        <w:gridCol w:w="1905"/>
                        <w:gridCol w:w="872"/>
                      </w:tblGrid>
                      <w:tr w:rsidR="00055D12" w:rsidRPr="0063268C" w:rsidTr="00055D12">
                        <w:trPr>
                          <w:trHeight w:val="420"/>
                        </w:trPr>
                        <w:tc>
                          <w:tcPr>
                            <w:tcW w:w="8540"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val="en-GB" w:eastAsia="nl-NL"/>
                              </w:rPr>
                            </w:pPr>
                            <w:bookmarkStart w:id="2" w:name="RANGE!A1:F12"/>
                            <w:r w:rsidRPr="00055D12">
                              <w:rPr>
                                <w:rFonts w:ascii="Calibri" w:eastAsia="Times New Roman" w:hAnsi="Calibri" w:cs="Times New Roman"/>
                                <w:b/>
                                <w:bCs/>
                                <w:color w:val="000000"/>
                                <w:sz w:val="24"/>
                                <w:szCs w:val="24"/>
                                <w:lang w:val="en-GB" w:eastAsia="nl-NL"/>
                              </w:rPr>
                              <w:t xml:space="preserve">COMPARISON OF COSTS  2015 - 2014. </w:t>
                            </w:r>
                            <w:r w:rsidRPr="00055D12">
                              <w:rPr>
                                <w:rFonts w:ascii="Calibri" w:eastAsia="Times New Roman" w:hAnsi="Calibri" w:cs="Times New Roman"/>
                                <w:b/>
                                <w:bCs/>
                                <w:color w:val="FF0000"/>
                                <w:sz w:val="24"/>
                                <w:szCs w:val="24"/>
                                <w:lang w:val="en-GB" w:eastAsia="nl-NL"/>
                              </w:rPr>
                              <w:t xml:space="preserve"> Draft status pending final approval</w:t>
                            </w:r>
                            <w:bookmarkEnd w:id="2"/>
                          </w:p>
                        </w:tc>
                      </w:tr>
                      <w:tr w:rsidR="00055D12" w:rsidRPr="00055D12" w:rsidTr="00055D12">
                        <w:trPr>
                          <w:trHeight w:val="450"/>
                        </w:trPr>
                        <w:tc>
                          <w:tcPr>
                            <w:tcW w:w="655" w:type="dxa"/>
                            <w:tcBorders>
                              <w:top w:val="nil"/>
                              <w:left w:val="single" w:sz="4" w:space="0" w:color="auto"/>
                              <w:bottom w:val="single" w:sz="4" w:space="0" w:color="auto"/>
                              <w:right w:val="single" w:sz="4" w:space="0" w:color="auto"/>
                            </w:tcBorders>
                            <w:shd w:val="clear" w:color="000000" w:fill="F2F2F2"/>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Group</w:t>
                            </w:r>
                          </w:p>
                        </w:tc>
                        <w:tc>
                          <w:tcPr>
                            <w:tcW w:w="2621" w:type="dxa"/>
                            <w:tcBorders>
                              <w:top w:val="nil"/>
                              <w:left w:val="nil"/>
                              <w:bottom w:val="single" w:sz="4" w:space="0" w:color="auto"/>
                              <w:right w:val="single" w:sz="4" w:space="0" w:color="auto"/>
                            </w:tcBorders>
                            <w:shd w:val="clear" w:color="000000" w:fill="F2F2F2"/>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description</w:t>
                            </w:r>
                            <w:proofErr w:type="spellEnd"/>
                          </w:p>
                        </w:tc>
                        <w:tc>
                          <w:tcPr>
                            <w:tcW w:w="1272"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year</w:t>
                            </w:r>
                            <w:proofErr w:type="spellEnd"/>
                            <w:r w:rsidRPr="00055D12">
                              <w:rPr>
                                <w:rFonts w:ascii="Calibri" w:eastAsia="Times New Roman" w:hAnsi="Calibri" w:cs="Times New Roman"/>
                                <w:color w:val="000000"/>
                                <w:lang w:eastAsia="nl-NL"/>
                              </w:rPr>
                              <w:t xml:space="preserve"> 2015</w:t>
                            </w:r>
                          </w:p>
                        </w:tc>
                        <w:tc>
                          <w:tcPr>
                            <w:tcW w:w="1272"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year</w:t>
                            </w:r>
                            <w:proofErr w:type="spellEnd"/>
                            <w:r w:rsidRPr="00055D12">
                              <w:rPr>
                                <w:rFonts w:ascii="Calibri" w:eastAsia="Times New Roman" w:hAnsi="Calibri" w:cs="Times New Roman"/>
                                <w:color w:val="000000"/>
                                <w:lang w:eastAsia="nl-NL"/>
                              </w:rPr>
                              <w:t xml:space="preserve"> 2014</w:t>
                            </w:r>
                          </w:p>
                        </w:tc>
                        <w:tc>
                          <w:tcPr>
                            <w:tcW w:w="1905"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increase</w:t>
                            </w:r>
                            <w:proofErr w:type="spellEnd"/>
                            <w:r w:rsidRPr="00055D12">
                              <w:rPr>
                                <w:rFonts w:ascii="Calibri" w:eastAsia="Times New Roman" w:hAnsi="Calibri" w:cs="Times New Roman"/>
                                <w:color w:val="000000"/>
                                <w:lang w:eastAsia="nl-NL"/>
                              </w:rPr>
                              <w:t>/</w:t>
                            </w:r>
                            <w:proofErr w:type="spellStart"/>
                            <w:r w:rsidRPr="00055D12">
                              <w:rPr>
                                <w:rFonts w:ascii="Calibri" w:eastAsia="Times New Roman" w:hAnsi="Calibri" w:cs="Times New Roman"/>
                                <w:color w:val="000000"/>
                                <w:lang w:eastAsia="nl-NL"/>
                              </w:rPr>
                              <w:t>decrease</w:t>
                            </w:r>
                            <w:proofErr w:type="spellEnd"/>
                            <w:r w:rsidRPr="00055D12">
                              <w:rPr>
                                <w:rFonts w:ascii="Calibri" w:eastAsia="Times New Roman" w:hAnsi="Calibri" w:cs="Times New Roman"/>
                                <w:color w:val="000000"/>
                                <w:lang w:eastAsia="nl-NL"/>
                              </w:rPr>
                              <w:t xml:space="preserve"> </w:t>
                            </w:r>
                          </w:p>
                        </w:tc>
                        <w:tc>
                          <w:tcPr>
                            <w:tcW w:w="815" w:type="dxa"/>
                            <w:tcBorders>
                              <w:top w:val="nil"/>
                              <w:left w:val="nil"/>
                              <w:bottom w:val="single" w:sz="4" w:space="0" w:color="auto"/>
                              <w:right w:val="single" w:sz="4" w:space="0" w:color="auto"/>
                            </w:tcBorders>
                            <w:shd w:val="clear" w:color="000000" w:fill="F2F2F2"/>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xml:space="preserve"> %</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30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electricity</w:t>
                            </w:r>
                            <w:proofErr w:type="spellEnd"/>
                            <w:r w:rsidRPr="00055D12">
                              <w:rPr>
                                <w:rFonts w:ascii="Calibri" w:eastAsia="Times New Roman" w:hAnsi="Calibri" w:cs="Times New Roman"/>
                                <w:color w:val="000000"/>
                                <w:lang w:eastAsia="nl-NL"/>
                              </w:rPr>
                              <w:t xml:space="preserve"> </w:t>
                            </w:r>
                            <w:proofErr w:type="spellStart"/>
                            <w:r w:rsidRPr="00055D12">
                              <w:rPr>
                                <w:rFonts w:ascii="Calibri" w:eastAsia="Times New Roman" w:hAnsi="Calibri" w:cs="Times New Roman"/>
                                <w:color w:val="000000"/>
                                <w:lang w:eastAsia="nl-NL"/>
                              </w:rPr>
                              <w:t>costs</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€ 12.338</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€ 12.365</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-€ 27</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-0,2%</w:t>
                            </w:r>
                          </w:p>
                        </w:tc>
                      </w:tr>
                      <w:tr w:rsidR="00055D12" w:rsidRPr="00055D12" w:rsidTr="00055D12">
                        <w:trPr>
                          <w:trHeight w:val="315"/>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40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xml:space="preserve">cleaning </w:t>
                            </w:r>
                            <w:proofErr w:type="spellStart"/>
                            <w:r w:rsidRPr="00055D12">
                              <w:rPr>
                                <w:rFonts w:ascii="Calibri" w:eastAsia="Times New Roman" w:hAnsi="Calibri" w:cs="Times New Roman"/>
                                <w:color w:val="000000"/>
                                <w:lang w:eastAsia="nl-NL"/>
                              </w:rPr>
                              <w:t>contracts</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€ 10.950</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€ 10.839</w:t>
                            </w:r>
                          </w:p>
                        </w:tc>
                        <w:tc>
                          <w:tcPr>
                            <w:tcW w:w="190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€ 111</w:t>
                            </w:r>
                          </w:p>
                        </w:tc>
                        <w:tc>
                          <w:tcPr>
                            <w:tcW w:w="81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1%</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51</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central</w:t>
                            </w:r>
                            <w:proofErr w:type="spellEnd"/>
                            <w:r w:rsidRPr="00055D12">
                              <w:rPr>
                                <w:rFonts w:ascii="Calibri" w:eastAsia="Times New Roman" w:hAnsi="Calibri" w:cs="Times New Roman"/>
                                <w:color w:val="000000"/>
                                <w:lang w:eastAsia="nl-NL"/>
                              </w:rPr>
                              <w:t xml:space="preserve"> </w:t>
                            </w:r>
                            <w:proofErr w:type="spellStart"/>
                            <w:r w:rsidRPr="00055D12">
                              <w:rPr>
                                <w:rFonts w:ascii="Calibri" w:eastAsia="Times New Roman" w:hAnsi="Calibri" w:cs="Times New Roman"/>
                                <w:color w:val="000000"/>
                                <w:lang w:eastAsia="nl-NL"/>
                              </w:rPr>
                              <w:t>heating</w:t>
                            </w:r>
                            <w:proofErr w:type="spellEnd"/>
                            <w:r w:rsidRPr="00055D12">
                              <w:rPr>
                                <w:rFonts w:ascii="Calibri" w:eastAsia="Times New Roman" w:hAnsi="Calibri" w:cs="Times New Roman"/>
                                <w:color w:val="000000"/>
                                <w:lang w:eastAsia="nl-NL"/>
                              </w:rPr>
                              <w:t xml:space="preserve"> system</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€ 1.186</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€ 2.035</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-€ 849</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-42%</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53</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elevators</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b/>
                                <w:bCs/>
                                <w:color w:val="FF0000"/>
                                <w:lang w:eastAsia="nl-NL"/>
                              </w:rPr>
                            </w:pPr>
                            <w:r w:rsidRPr="00055D12">
                              <w:rPr>
                                <w:rFonts w:ascii="Calibri" w:eastAsia="Times New Roman" w:hAnsi="Calibri" w:cs="Times New Roman"/>
                                <w:b/>
                                <w:bCs/>
                                <w:color w:val="FF0000"/>
                                <w:lang w:eastAsia="nl-NL"/>
                              </w:rPr>
                              <w:t>€ 2.701</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€ 2.476</w:t>
                            </w:r>
                          </w:p>
                        </w:tc>
                        <w:tc>
                          <w:tcPr>
                            <w:tcW w:w="190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€ 225</w:t>
                            </w:r>
                          </w:p>
                        </w:tc>
                        <w:tc>
                          <w:tcPr>
                            <w:tcW w:w="81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9%</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58</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replacement</w:t>
                            </w:r>
                            <w:proofErr w:type="spellEnd"/>
                            <w:r w:rsidRPr="00055D12">
                              <w:rPr>
                                <w:rFonts w:ascii="Calibri" w:eastAsia="Times New Roman" w:hAnsi="Calibri" w:cs="Times New Roman"/>
                                <w:color w:val="000000"/>
                                <w:lang w:eastAsia="nl-NL"/>
                              </w:rPr>
                              <w:t xml:space="preserve"> of light </w:t>
                            </w:r>
                            <w:proofErr w:type="spellStart"/>
                            <w:r w:rsidRPr="00055D12">
                              <w:rPr>
                                <w:rFonts w:ascii="Calibri" w:eastAsia="Times New Roman" w:hAnsi="Calibri" w:cs="Times New Roman"/>
                                <w:color w:val="000000"/>
                                <w:lang w:eastAsia="nl-NL"/>
                              </w:rPr>
                              <w:t>bulbs</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€ 237</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€ 1.169</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-€ 932</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-80%</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60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installations</w:t>
                            </w:r>
                            <w:proofErr w:type="spellEnd"/>
                            <w:r w:rsidRPr="00055D12">
                              <w:rPr>
                                <w:rFonts w:ascii="Calibri" w:eastAsia="Times New Roman" w:hAnsi="Calibri" w:cs="Times New Roman"/>
                                <w:color w:val="000000"/>
                                <w:lang w:eastAsia="nl-NL"/>
                              </w:rPr>
                              <w:t>/</w:t>
                            </w:r>
                            <w:proofErr w:type="spellStart"/>
                            <w:r w:rsidRPr="00055D12">
                              <w:rPr>
                                <w:rFonts w:ascii="Calibri" w:eastAsia="Times New Roman" w:hAnsi="Calibri" w:cs="Times New Roman"/>
                                <w:color w:val="000000"/>
                                <w:lang w:eastAsia="nl-NL"/>
                              </w:rPr>
                              <w:t>provisions</w:t>
                            </w:r>
                            <w:proofErr w:type="spellEnd"/>
                            <w:r w:rsidRPr="00055D12">
                              <w:rPr>
                                <w:rFonts w:ascii="Calibri" w:eastAsia="Times New Roman" w:hAnsi="Calibri" w:cs="Times New Roman"/>
                                <w:color w:val="000000"/>
                                <w:lang w:eastAsia="nl-NL"/>
                              </w:rPr>
                              <w:t xml:space="preserve"> </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€ 2.960</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€ 2.929</w:t>
                            </w:r>
                          </w:p>
                        </w:tc>
                        <w:tc>
                          <w:tcPr>
                            <w:tcW w:w="190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€ 31</w:t>
                            </w:r>
                          </w:p>
                        </w:tc>
                        <w:tc>
                          <w:tcPr>
                            <w:tcW w:w="815" w:type="dxa"/>
                            <w:tcBorders>
                              <w:top w:val="nil"/>
                              <w:left w:val="nil"/>
                              <w:bottom w:val="single" w:sz="4" w:space="0" w:color="auto"/>
                              <w:right w:val="single" w:sz="4" w:space="0" w:color="auto"/>
                            </w:tcBorders>
                            <w:shd w:val="clear" w:color="000000" w:fill="FF0000"/>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1%</w:t>
                            </w:r>
                          </w:p>
                        </w:tc>
                      </w:tr>
                      <w:tr w:rsidR="00055D12" w:rsidRPr="00055D12" w:rsidTr="00055D12">
                        <w:trPr>
                          <w:trHeight w:val="300"/>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70</w:t>
                            </w:r>
                          </w:p>
                        </w:tc>
                        <w:tc>
                          <w:tcPr>
                            <w:tcW w:w="2621"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roofErr w:type="spellStart"/>
                            <w:r w:rsidRPr="00055D12">
                              <w:rPr>
                                <w:rFonts w:ascii="Calibri" w:eastAsia="Times New Roman" w:hAnsi="Calibri" w:cs="Times New Roman"/>
                                <w:color w:val="000000"/>
                                <w:lang w:eastAsia="nl-NL"/>
                              </w:rPr>
                              <w:t>glass</w:t>
                            </w:r>
                            <w:proofErr w:type="spellEnd"/>
                            <w:r w:rsidRPr="00055D12">
                              <w:rPr>
                                <w:rFonts w:ascii="Calibri" w:eastAsia="Times New Roman" w:hAnsi="Calibri" w:cs="Times New Roman"/>
                                <w:color w:val="000000"/>
                                <w:lang w:eastAsia="nl-NL"/>
                              </w:rPr>
                              <w:t xml:space="preserve"> </w:t>
                            </w:r>
                            <w:proofErr w:type="spellStart"/>
                            <w:r w:rsidRPr="00055D12">
                              <w:rPr>
                                <w:rFonts w:ascii="Calibri" w:eastAsia="Times New Roman" w:hAnsi="Calibri" w:cs="Times New Roman"/>
                                <w:color w:val="000000"/>
                                <w:lang w:eastAsia="nl-NL"/>
                              </w:rPr>
                              <w:t>insurance</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€ 542</w:t>
                            </w:r>
                          </w:p>
                        </w:tc>
                        <w:tc>
                          <w:tcPr>
                            <w:tcW w:w="1272"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€ 542</w:t>
                            </w:r>
                          </w:p>
                        </w:tc>
                        <w:tc>
                          <w:tcPr>
                            <w:tcW w:w="1905" w:type="dxa"/>
                            <w:tcBorders>
                              <w:top w:val="nil"/>
                              <w:left w:val="nil"/>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€ 0</w:t>
                            </w:r>
                          </w:p>
                        </w:tc>
                        <w:tc>
                          <w:tcPr>
                            <w:tcW w:w="815" w:type="dxa"/>
                            <w:tcBorders>
                              <w:top w:val="nil"/>
                              <w:left w:val="nil"/>
                              <w:bottom w:val="single" w:sz="4" w:space="0" w:color="auto"/>
                              <w:right w:val="single" w:sz="4" w:space="0" w:color="auto"/>
                            </w:tcBorders>
                            <w:shd w:val="clear" w:color="auto" w:fill="auto"/>
                            <w:noWrap/>
                            <w:vAlign w:val="center"/>
                            <w:hideMark/>
                          </w:tcPr>
                          <w:p w:rsidR="00055D12" w:rsidRPr="00055D12" w:rsidRDefault="00055D12" w:rsidP="00055D12">
                            <w:pPr>
                              <w:spacing w:after="0" w:line="240" w:lineRule="auto"/>
                              <w:jc w:val="center"/>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0%</w:t>
                            </w:r>
                          </w:p>
                        </w:tc>
                      </w:tr>
                      <w:tr w:rsidR="00055D12" w:rsidRPr="00055D12" w:rsidTr="00055D12">
                        <w:trPr>
                          <w:trHeight w:val="405"/>
                        </w:trPr>
                        <w:tc>
                          <w:tcPr>
                            <w:tcW w:w="3276"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055D12" w:rsidRPr="00055D12" w:rsidRDefault="00055D12" w:rsidP="00055D12">
                            <w:pPr>
                              <w:spacing w:after="0" w:line="240" w:lineRule="auto"/>
                              <w:jc w:val="right"/>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xml:space="preserve"> </w:t>
                            </w:r>
                            <w:r w:rsidRPr="00055D12">
                              <w:rPr>
                                <w:rFonts w:ascii="Calibri" w:eastAsia="Times New Roman" w:hAnsi="Calibri" w:cs="Times New Roman"/>
                                <w:b/>
                                <w:bCs/>
                                <w:color w:val="FF0000"/>
                                <w:sz w:val="24"/>
                                <w:szCs w:val="24"/>
                                <w:lang w:eastAsia="nl-NL"/>
                              </w:rPr>
                              <w:t xml:space="preserve">PROVISIONAL  </w:t>
                            </w:r>
                            <w:r w:rsidRPr="00055D12">
                              <w:rPr>
                                <w:rFonts w:ascii="Calibri" w:eastAsia="Times New Roman" w:hAnsi="Calibri" w:cs="Times New Roman"/>
                                <w:b/>
                                <w:bCs/>
                                <w:color w:val="000000"/>
                                <w:sz w:val="24"/>
                                <w:szCs w:val="24"/>
                                <w:lang w:eastAsia="nl-NL"/>
                              </w:rPr>
                              <w:t xml:space="preserve"> TOTAL AMOUNT </w:t>
                            </w:r>
                          </w:p>
                        </w:tc>
                        <w:tc>
                          <w:tcPr>
                            <w:tcW w:w="1272" w:type="dxa"/>
                            <w:tcBorders>
                              <w:top w:val="nil"/>
                              <w:left w:val="nil"/>
                              <w:bottom w:val="single" w:sz="4" w:space="0" w:color="auto"/>
                              <w:right w:val="single" w:sz="4" w:space="0" w:color="auto"/>
                            </w:tcBorders>
                            <w:shd w:val="clear" w:color="000000" w:fill="FFFF0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€ 30.915</w:t>
                            </w:r>
                          </w:p>
                        </w:tc>
                        <w:tc>
                          <w:tcPr>
                            <w:tcW w:w="1272" w:type="dxa"/>
                            <w:tcBorders>
                              <w:top w:val="nil"/>
                              <w:left w:val="nil"/>
                              <w:bottom w:val="single" w:sz="4" w:space="0" w:color="auto"/>
                              <w:right w:val="single" w:sz="4" w:space="0" w:color="auto"/>
                            </w:tcBorders>
                            <w:shd w:val="clear" w:color="000000" w:fill="FFFF0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€ 32.354</w:t>
                            </w:r>
                          </w:p>
                        </w:tc>
                        <w:tc>
                          <w:tcPr>
                            <w:tcW w:w="190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-€ 1.439</w:t>
                            </w:r>
                          </w:p>
                        </w:tc>
                        <w:tc>
                          <w:tcPr>
                            <w:tcW w:w="815" w:type="dxa"/>
                            <w:tcBorders>
                              <w:top w:val="nil"/>
                              <w:left w:val="nil"/>
                              <w:bottom w:val="single" w:sz="4" w:space="0" w:color="auto"/>
                              <w:right w:val="single" w:sz="4" w:space="0" w:color="auto"/>
                            </w:tcBorders>
                            <w:shd w:val="clear" w:color="000000" w:fill="92D050"/>
                            <w:noWrap/>
                            <w:vAlign w:val="center"/>
                            <w:hideMark/>
                          </w:tcPr>
                          <w:p w:rsidR="00055D12" w:rsidRPr="00055D12" w:rsidRDefault="00055D12" w:rsidP="00055D12">
                            <w:pPr>
                              <w:spacing w:after="0" w:line="240" w:lineRule="auto"/>
                              <w:jc w:val="center"/>
                              <w:rPr>
                                <w:rFonts w:ascii="Calibri" w:eastAsia="Times New Roman" w:hAnsi="Calibri" w:cs="Times New Roman"/>
                                <w:b/>
                                <w:bCs/>
                                <w:color w:val="000000"/>
                                <w:sz w:val="24"/>
                                <w:szCs w:val="24"/>
                                <w:lang w:eastAsia="nl-NL"/>
                              </w:rPr>
                            </w:pPr>
                            <w:r w:rsidRPr="00055D12">
                              <w:rPr>
                                <w:rFonts w:ascii="Calibri" w:eastAsia="Times New Roman" w:hAnsi="Calibri" w:cs="Times New Roman"/>
                                <w:b/>
                                <w:bCs/>
                                <w:color w:val="000000"/>
                                <w:sz w:val="24"/>
                                <w:szCs w:val="24"/>
                                <w:lang w:eastAsia="nl-NL"/>
                              </w:rPr>
                              <w:t>-4%</w:t>
                            </w:r>
                          </w:p>
                        </w:tc>
                      </w:tr>
                      <w:tr w:rsidR="00055D12" w:rsidRPr="00055D12" w:rsidTr="00055D12">
                        <w:trPr>
                          <w:trHeight w:val="210"/>
                        </w:trPr>
                        <w:tc>
                          <w:tcPr>
                            <w:tcW w:w="655"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2621"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905" w:type="dxa"/>
                            <w:tcBorders>
                              <w:top w:val="nil"/>
                              <w:left w:val="single" w:sz="4" w:space="0" w:color="auto"/>
                              <w:bottom w:val="single" w:sz="4" w:space="0" w:color="auto"/>
                              <w:right w:val="single" w:sz="4" w:space="0" w:color="auto"/>
                            </w:tcBorders>
                            <w:shd w:val="clear" w:color="000000" w:fill="92D050"/>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w:t>
                            </w:r>
                          </w:p>
                        </w:tc>
                        <w:tc>
                          <w:tcPr>
                            <w:tcW w:w="815"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sz w:val="20"/>
                                <w:szCs w:val="20"/>
                                <w:lang w:eastAsia="nl-NL"/>
                              </w:rPr>
                            </w:pPr>
                            <w:proofErr w:type="spellStart"/>
                            <w:r w:rsidRPr="00055D12">
                              <w:rPr>
                                <w:rFonts w:ascii="Calibri" w:eastAsia="Times New Roman" w:hAnsi="Calibri" w:cs="Times New Roman"/>
                                <w:color w:val="000000"/>
                                <w:sz w:val="20"/>
                                <w:szCs w:val="20"/>
                                <w:lang w:eastAsia="nl-NL"/>
                              </w:rPr>
                              <w:t>decrease</w:t>
                            </w:r>
                            <w:proofErr w:type="spellEnd"/>
                          </w:p>
                        </w:tc>
                      </w:tr>
                      <w:tr w:rsidR="00055D12" w:rsidRPr="00055D12" w:rsidTr="00055D12">
                        <w:trPr>
                          <w:trHeight w:val="210"/>
                        </w:trPr>
                        <w:tc>
                          <w:tcPr>
                            <w:tcW w:w="655"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2621"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272" w:type="dxa"/>
                            <w:tcBorders>
                              <w:top w:val="nil"/>
                              <w:left w:val="nil"/>
                              <w:bottom w:val="nil"/>
                              <w:right w:val="nil"/>
                            </w:tcBorders>
                            <w:shd w:val="clear" w:color="auto" w:fill="auto"/>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p>
                        </w:tc>
                        <w:tc>
                          <w:tcPr>
                            <w:tcW w:w="1905" w:type="dxa"/>
                            <w:tcBorders>
                              <w:top w:val="nil"/>
                              <w:left w:val="single" w:sz="4" w:space="0" w:color="auto"/>
                              <w:bottom w:val="single" w:sz="4" w:space="0" w:color="auto"/>
                              <w:right w:val="single" w:sz="4" w:space="0" w:color="auto"/>
                            </w:tcBorders>
                            <w:shd w:val="clear" w:color="000000" w:fill="FF0000"/>
                            <w:noWrap/>
                            <w:vAlign w:val="bottom"/>
                            <w:hideMark/>
                          </w:tcPr>
                          <w:p w:rsidR="00055D12" w:rsidRPr="00055D12" w:rsidRDefault="00055D12" w:rsidP="00055D12">
                            <w:pPr>
                              <w:spacing w:after="0" w:line="240" w:lineRule="auto"/>
                              <w:rPr>
                                <w:rFonts w:ascii="Calibri" w:eastAsia="Times New Roman" w:hAnsi="Calibri" w:cs="Times New Roman"/>
                                <w:color w:val="000000"/>
                                <w:lang w:eastAsia="nl-NL"/>
                              </w:rPr>
                            </w:pPr>
                            <w:r w:rsidRPr="00055D12">
                              <w:rPr>
                                <w:rFonts w:ascii="Calibri" w:eastAsia="Times New Roman" w:hAnsi="Calibri" w:cs="Times New Roman"/>
                                <w:color w:val="000000"/>
                                <w:lang w:eastAsia="nl-NL"/>
                              </w:rPr>
                              <w:t> </w:t>
                            </w:r>
                          </w:p>
                        </w:tc>
                        <w:tc>
                          <w:tcPr>
                            <w:tcW w:w="815" w:type="dxa"/>
                            <w:tcBorders>
                              <w:top w:val="nil"/>
                              <w:left w:val="nil"/>
                              <w:bottom w:val="single" w:sz="4" w:space="0" w:color="auto"/>
                              <w:right w:val="single" w:sz="4" w:space="0" w:color="auto"/>
                            </w:tcBorders>
                            <w:shd w:val="clear" w:color="auto" w:fill="auto"/>
                            <w:noWrap/>
                            <w:vAlign w:val="bottom"/>
                            <w:hideMark/>
                          </w:tcPr>
                          <w:p w:rsidR="00055D12" w:rsidRPr="00055D12" w:rsidRDefault="00055D12" w:rsidP="00055D12">
                            <w:pPr>
                              <w:spacing w:after="0" w:line="240" w:lineRule="auto"/>
                              <w:jc w:val="center"/>
                              <w:rPr>
                                <w:rFonts w:ascii="Calibri" w:eastAsia="Times New Roman" w:hAnsi="Calibri" w:cs="Times New Roman"/>
                                <w:color w:val="000000"/>
                                <w:sz w:val="20"/>
                                <w:szCs w:val="20"/>
                                <w:lang w:eastAsia="nl-NL"/>
                              </w:rPr>
                            </w:pPr>
                            <w:proofErr w:type="spellStart"/>
                            <w:r w:rsidRPr="00055D12">
                              <w:rPr>
                                <w:rFonts w:ascii="Calibri" w:eastAsia="Times New Roman" w:hAnsi="Calibri" w:cs="Times New Roman"/>
                                <w:color w:val="000000"/>
                                <w:sz w:val="20"/>
                                <w:szCs w:val="20"/>
                                <w:lang w:eastAsia="nl-NL"/>
                              </w:rPr>
                              <w:t>increase</w:t>
                            </w:r>
                            <w:proofErr w:type="spellEnd"/>
                          </w:p>
                        </w:tc>
                      </w:tr>
                    </w:tbl>
                    <w:p w:rsidR="009F733C" w:rsidRPr="00E44AE1" w:rsidRDefault="009F733C">
                      <w:pPr>
                        <w:rPr>
                          <w:color w:val="548DD4" w:themeColor="text2" w:themeTint="99"/>
                          <w:lang w:val="en-GB"/>
                        </w:rPr>
                      </w:pPr>
                    </w:p>
                  </w:txbxContent>
                </v:textbox>
              </v:shape>
            </w:pict>
          </mc:Fallback>
        </mc:AlternateContent>
      </w:r>
      <w:r>
        <w:rPr>
          <w:noProof/>
          <w:lang w:eastAsia="nl-NL"/>
        </w:rPr>
        <mc:AlternateContent>
          <mc:Choice Requires="wps">
            <w:drawing>
              <wp:anchor distT="0" distB="0" distL="114300" distR="114300" simplePos="0" relativeHeight="251666432" behindDoc="0" locked="0" layoutInCell="1" allowOverlap="1" wp14:anchorId="7E0368FC" wp14:editId="63DF7F89">
                <wp:simplePos x="0" y="0"/>
                <wp:positionH relativeFrom="margin">
                  <wp:posOffset>-403225</wp:posOffset>
                </wp:positionH>
                <wp:positionV relativeFrom="margin">
                  <wp:posOffset>6214110</wp:posOffset>
                </wp:positionV>
                <wp:extent cx="6866890" cy="3309620"/>
                <wp:effectExtent l="57150" t="38100" r="48260" b="81280"/>
                <wp:wrapSquare wrapText="bothSides"/>
                <wp:docPr id="6" name="Tekstvak 6"/>
                <wp:cNvGraphicFramePr/>
                <a:graphic xmlns:a="http://schemas.openxmlformats.org/drawingml/2006/main">
                  <a:graphicData uri="http://schemas.microsoft.com/office/word/2010/wordprocessingShape">
                    <wps:wsp>
                      <wps:cNvSpPr txBox="1"/>
                      <wps:spPr>
                        <a:xfrm>
                          <a:off x="0" y="0"/>
                          <a:ext cx="6866890" cy="3309620"/>
                        </a:xfrm>
                        <a:prstGeom prst="rect">
                          <a:avLst/>
                        </a:prstGeom>
                        <a:ln>
                          <a:noFill/>
                        </a:ln>
                      </wps:spPr>
                      <wps:style>
                        <a:lnRef idx="1">
                          <a:schemeClr val="dk1"/>
                        </a:lnRef>
                        <a:fillRef idx="2">
                          <a:schemeClr val="dk1"/>
                        </a:fillRef>
                        <a:effectRef idx="1">
                          <a:schemeClr val="dk1"/>
                        </a:effectRef>
                        <a:fontRef idx="minor">
                          <a:schemeClr val="dk1"/>
                        </a:fontRef>
                      </wps:style>
                      <wps:txbx>
                        <w:txbxContent>
                          <w:p w:rsidR="000012EC" w:rsidRPr="000012EC" w:rsidRDefault="000012EC" w:rsidP="000012EC">
                            <w:pPr>
                              <w:rPr>
                                <w:color w:val="000000" w:themeColor="text1"/>
                                <w:lang w:val="en-GB"/>
                              </w:rPr>
                            </w:pPr>
                            <w:r w:rsidRPr="00716595">
                              <w:rPr>
                                <w:sz w:val="20"/>
                                <w:szCs w:val="20"/>
                                <w:lang w:val="en-GB"/>
                              </w:rPr>
                              <w:t xml:space="preserve">1% increase in </w:t>
                            </w:r>
                            <w:r w:rsidRPr="00716595">
                              <w:rPr>
                                <w:b/>
                                <w:sz w:val="20"/>
                                <w:szCs w:val="20"/>
                                <w:lang w:val="en-GB"/>
                              </w:rPr>
                              <w:t>group 40</w:t>
                            </w:r>
                            <w:r w:rsidRPr="00716595">
                              <w:rPr>
                                <w:sz w:val="20"/>
                                <w:szCs w:val="20"/>
                                <w:lang w:val="en-GB"/>
                              </w:rPr>
                              <w:t xml:space="preserve"> (cleaning contracts) and  in </w:t>
                            </w:r>
                            <w:r w:rsidRPr="00716595">
                              <w:rPr>
                                <w:b/>
                                <w:sz w:val="20"/>
                                <w:szCs w:val="20"/>
                                <w:lang w:val="en-GB"/>
                              </w:rPr>
                              <w:t>group 60</w:t>
                            </w:r>
                            <w:r w:rsidRPr="00716595">
                              <w:rPr>
                                <w:sz w:val="20"/>
                                <w:szCs w:val="20"/>
                                <w:lang w:val="en-GB"/>
                              </w:rPr>
                              <w:t xml:space="preserve"> (24 hour service Lock-It and  </w:t>
                            </w:r>
                            <w:proofErr w:type="spellStart"/>
                            <w:r w:rsidRPr="00716595">
                              <w:rPr>
                                <w:sz w:val="20"/>
                                <w:szCs w:val="20"/>
                                <w:lang w:val="en-GB"/>
                              </w:rPr>
                              <w:t>Mansfeld</w:t>
                            </w:r>
                            <w:proofErr w:type="spellEnd"/>
                            <w:r w:rsidRPr="00716595">
                              <w:rPr>
                                <w:sz w:val="20"/>
                                <w:szCs w:val="20"/>
                                <w:lang w:val="en-GB"/>
                              </w:rPr>
                              <w:t xml:space="preserve">)  within yearly indexation of the annual contracts. </w:t>
                            </w:r>
                          </w:p>
                          <w:p w:rsidR="000012EC" w:rsidRPr="00716595" w:rsidRDefault="000012EC" w:rsidP="000012EC">
                            <w:pPr>
                              <w:rPr>
                                <w:sz w:val="20"/>
                                <w:szCs w:val="20"/>
                                <w:lang w:val="en-GB"/>
                              </w:rPr>
                            </w:pPr>
                            <w:r w:rsidRPr="00716595">
                              <w:rPr>
                                <w:sz w:val="20"/>
                                <w:szCs w:val="20"/>
                                <w:lang w:val="en-GB"/>
                              </w:rPr>
                              <w:t xml:space="preserve">Small decrease in  </w:t>
                            </w:r>
                            <w:r w:rsidRPr="00716595">
                              <w:rPr>
                                <w:b/>
                                <w:sz w:val="20"/>
                                <w:szCs w:val="20"/>
                                <w:lang w:val="en-GB"/>
                              </w:rPr>
                              <w:t>group 30</w:t>
                            </w:r>
                            <w:r w:rsidRPr="00716595">
                              <w:rPr>
                                <w:sz w:val="20"/>
                                <w:szCs w:val="20"/>
                                <w:lang w:val="en-GB"/>
                              </w:rPr>
                              <w:t xml:space="preserve"> (electricity costs) </w:t>
                            </w:r>
                            <w:r w:rsidR="003B453C">
                              <w:rPr>
                                <w:sz w:val="20"/>
                                <w:szCs w:val="20"/>
                                <w:lang w:val="en-GB"/>
                              </w:rPr>
                              <w:t xml:space="preserve"> in spite of  an increased  electricity price </w:t>
                            </w:r>
                            <w:r w:rsidRPr="00716595">
                              <w:rPr>
                                <w:sz w:val="20"/>
                                <w:szCs w:val="20"/>
                                <w:lang w:val="en-GB"/>
                              </w:rPr>
                              <w:t xml:space="preserve">due  to not replacing of a large number of </w:t>
                            </w:r>
                            <w:r>
                              <w:rPr>
                                <w:sz w:val="20"/>
                                <w:szCs w:val="20"/>
                                <w:lang w:val="en-GB"/>
                              </w:rPr>
                              <w:t>expired</w:t>
                            </w:r>
                            <w:r w:rsidRPr="00716595">
                              <w:rPr>
                                <w:sz w:val="20"/>
                                <w:szCs w:val="20"/>
                                <w:lang w:val="en-GB"/>
                              </w:rPr>
                              <w:t xml:space="preserve"> light bulbs in 2015 within the context of the by end 2015 introduced light management </w:t>
                            </w:r>
                            <w:r w:rsidR="003B453C">
                              <w:rPr>
                                <w:sz w:val="20"/>
                                <w:szCs w:val="20"/>
                                <w:lang w:val="en-GB"/>
                              </w:rPr>
                              <w:t>.</w:t>
                            </w:r>
                            <w:r w:rsidRPr="00716595">
                              <w:rPr>
                                <w:sz w:val="20"/>
                                <w:szCs w:val="20"/>
                                <w:lang w:val="en-GB"/>
                              </w:rPr>
                              <w:t xml:space="preserve"> </w:t>
                            </w:r>
                          </w:p>
                          <w:p w:rsidR="000012EC" w:rsidRPr="00716595" w:rsidRDefault="000012EC" w:rsidP="000012EC">
                            <w:pPr>
                              <w:rPr>
                                <w:sz w:val="20"/>
                                <w:szCs w:val="20"/>
                                <w:lang w:val="en-GB"/>
                              </w:rPr>
                            </w:pPr>
                            <w:r w:rsidRPr="00716595">
                              <w:rPr>
                                <w:b/>
                                <w:sz w:val="20"/>
                                <w:szCs w:val="20"/>
                                <w:lang w:val="en-GB"/>
                              </w:rPr>
                              <w:t>Group 51</w:t>
                            </w:r>
                            <w:r w:rsidRPr="00716595">
                              <w:rPr>
                                <w:sz w:val="20"/>
                                <w:szCs w:val="20"/>
                                <w:lang w:val="en-GB"/>
                              </w:rPr>
                              <w:t xml:space="preserve">: Structural decrease with effect from 2015 due to changed policy.  Before 2015 it was common practice  on the market to charge tenants  with 35% of the costs  for maintenance contracts for heating systems with a 24 hour service component.  The authoritative  committee  for tenant issues in the Netherlands has decided  to  limit the costs for tenants down to 20% of the sum for central heating system 24 hour service contracts from 2015 onwards. </w:t>
                            </w:r>
                          </w:p>
                          <w:p w:rsidR="000012EC" w:rsidRPr="0063268C" w:rsidRDefault="000012EC" w:rsidP="000012EC">
                            <w:pPr>
                              <w:rPr>
                                <w:color w:val="FF0000"/>
                                <w:sz w:val="20"/>
                                <w:szCs w:val="20"/>
                                <w:lang w:val="en-GB"/>
                              </w:rPr>
                            </w:pPr>
                            <w:r w:rsidRPr="0063268C">
                              <w:rPr>
                                <w:b/>
                                <w:color w:val="FF0000"/>
                                <w:sz w:val="20"/>
                                <w:szCs w:val="20"/>
                                <w:lang w:val="en-GB"/>
                              </w:rPr>
                              <w:t>Group 53</w:t>
                            </w:r>
                            <w:r w:rsidRPr="0063268C">
                              <w:rPr>
                                <w:color w:val="FF0000"/>
                                <w:sz w:val="20"/>
                                <w:szCs w:val="20"/>
                                <w:lang w:val="en-GB"/>
                              </w:rPr>
                              <w:t xml:space="preserve">: The amount stated in the table is a provisional figure  which will be reduced with  the costs paid in 2015 for periodical certification of the elevators.  These latter costs are not chargeable to  tenants but are 100% costs for the owner of the building.  It is expected that these costs amount to  approximately 200 euro which after subtraction will neutralize  the difference in costs with 2014. </w:t>
                            </w:r>
                          </w:p>
                          <w:p w:rsidR="000012EC" w:rsidRPr="00716595" w:rsidRDefault="000012EC" w:rsidP="000012EC">
                            <w:pPr>
                              <w:rPr>
                                <w:sz w:val="20"/>
                                <w:szCs w:val="20"/>
                                <w:lang w:val="en-GB"/>
                              </w:rPr>
                            </w:pPr>
                            <w:r w:rsidRPr="00716595">
                              <w:rPr>
                                <w:sz w:val="20"/>
                                <w:szCs w:val="20"/>
                                <w:lang w:val="en-GB"/>
                              </w:rPr>
                              <w:t xml:space="preserve">Achieved savings  in </w:t>
                            </w:r>
                            <w:r w:rsidRPr="00716595">
                              <w:rPr>
                                <w:b/>
                                <w:sz w:val="20"/>
                                <w:szCs w:val="20"/>
                                <w:lang w:val="en-GB"/>
                              </w:rPr>
                              <w:t>group 58</w:t>
                            </w:r>
                            <w:r w:rsidRPr="00716595">
                              <w:rPr>
                                <w:sz w:val="20"/>
                                <w:szCs w:val="20"/>
                                <w:lang w:val="en-GB"/>
                              </w:rPr>
                              <w:t xml:space="preserve"> (replacement of bulbs)  due to by end of 2015 introduced light management  amongst other based on  the principle of self-replacement and self-repair if possible by  a small tenants committee working group. </w:t>
                            </w:r>
                          </w:p>
                          <w:p w:rsidR="00BF3997" w:rsidRPr="00836879" w:rsidRDefault="00BF3997" w:rsidP="00836879">
                            <w:pPr>
                              <w:rPr>
                                <w:color w:val="000000" w:themeColor="text1"/>
                                <w:lang w:val="en-GB"/>
                              </w:rPr>
                            </w:pPr>
                          </w:p>
                          <w:p w:rsidR="0066051F" w:rsidRPr="00836879" w:rsidRDefault="0066051F">
                            <w:pPr>
                              <w:rPr>
                                <w:color w:val="000000" w:themeColor="tex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 o:spid="_x0000_s1027" type="#_x0000_t202" style="position:absolute;margin-left:-31.75pt;margin-top:489.3pt;width:540.7pt;height:260.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" fillcolor="gray [1616]" stroked="f">
                <v:fill color2="#d9d9d9 [496]" rotate="t" angle="180" colors="0 #bcbcbc;22938f #d0d0d0;1 #ededed" focus="100%" type="gradient"/>
                <v:shadow on="t" color="black" opacity="24903f" origin=",.5" offset="0,.55556mm"/>
                <v:textbox>
                  <w:txbxContent>
                    <w:p w:rsidR="000012EC" w:rsidRPr="000012EC" w:rsidRDefault="000012EC" w:rsidP="000012EC">
                      <w:pPr>
                        <w:rPr>
                          <w:color w:val="000000" w:themeColor="text1"/>
                          <w:lang w:val="en-GB"/>
                        </w:rPr>
                      </w:pPr>
                      <w:r w:rsidRPr="00716595">
                        <w:rPr>
                          <w:sz w:val="20"/>
                          <w:szCs w:val="20"/>
                          <w:lang w:val="en-GB"/>
                        </w:rPr>
                        <w:t xml:space="preserve">1% increase in </w:t>
                      </w:r>
                      <w:r w:rsidRPr="00716595">
                        <w:rPr>
                          <w:b/>
                          <w:sz w:val="20"/>
                          <w:szCs w:val="20"/>
                          <w:lang w:val="en-GB"/>
                        </w:rPr>
                        <w:t>group 40</w:t>
                      </w:r>
                      <w:r w:rsidRPr="00716595">
                        <w:rPr>
                          <w:sz w:val="20"/>
                          <w:szCs w:val="20"/>
                          <w:lang w:val="en-GB"/>
                        </w:rPr>
                        <w:t xml:space="preserve"> (cleaning contracts) and  in </w:t>
                      </w:r>
                      <w:r w:rsidRPr="00716595">
                        <w:rPr>
                          <w:b/>
                          <w:sz w:val="20"/>
                          <w:szCs w:val="20"/>
                          <w:lang w:val="en-GB"/>
                        </w:rPr>
                        <w:t>group 60</w:t>
                      </w:r>
                      <w:r w:rsidRPr="00716595">
                        <w:rPr>
                          <w:sz w:val="20"/>
                          <w:szCs w:val="20"/>
                          <w:lang w:val="en-GB"/>
                        </w:rPr>
                        <w:t xml:space="preserve"> (24 hour service Lock-It and  </w:t>
                      </w:r>
                      <w:proofErr w:type="spellStart"/>
                      <w:r w:rsidRPr="00716595">
                        <w:rPr>
                          <w:sz w:val="20"/>
                          <w:szCs w:val="20"/>
                          <w:lang w:val="en-GB"/>
                        </w:rPr>
                        <w:t>Mansfeld</w:t>
                      </w:r>
                      <w:proofErr w:type="spellEnd"/>
                      <w:r w:rsidRPr="00716595">
                        <w:rPr>
                          <w:sz w:val="20"/>
                          <w:szCs w:val="20"/>
                          <w:lang w:val="en-GB"/>
                        </w:rPr>
                        <w:t xml:space="preserve">)  within yearly indexation of the annual contracts. </w:t>
                      </w:r>
                    </w:p>
                    <w:p w:rsidR="000012EC" w:rsidRPr="00716595" w:rsidRDefault="000012EC" w:rsidP="000012EC">
                      <w:pPr>
                        <w:rPr>
                          <w:sz w:val="20"/>
                          <w:szCs w:val="20"/>
                          <w:lang w:val="en-GB"/>
                        </w:rPr>
                      </w:pPr>
                      <w:r w:rsidRPr="00716595">
                        <w:rPr>
                          <w:sz w:val="20"/>
                          <w:szCs w:val="20"/>
                          <w:lang w:val="en-GB"/>
                        </w:rPr>
                        <w:t xml:space="preserve">Small decrease in  </w:t>
                      </w:r>
                      <w:r w:rsidRPr="00716595">
                        <w:rPr>
                          <w:b/>
                          <w:sz w:val="20"/>
                          <w:szCs w:val="20"/>
                          <w:lang w:val="en-GB"/>
                        </w:rPr>
                        <w:t>group 30</w:t>
                      </w:r>
                      <w:r w:rsidRPr="00716595">
                        <w:rPr>
                          <w:sz w:val="20"/>
                          <w:szCs w:val="20"/>
                          <w:lang w:val="en-GB"/>
                        </w:rPr>
                        <w:t xml:space="preserve"> (electricity costs) </w:t>
                      </w:r>
                      <w:r w:rsidR="003B453C">
                        <w:rPr>
                          <w:sz w:val="20"/>
                          <w:szCs w:val="20"/>
                          <w:lang w:val="en-GB"/>
                        </w:rPr>
                        <w:t xml:space="preserve"> in spite of  an increased  electricity price </w:t>
                      </w:r>
                      <w:r w:rsidRPr="00716595">
                        <w:rPr>
                          <w:sz w:val="20"/>
                          <w:szCs w:val="20"/>
                          <w:lang w:val="en-GB"/>
                        </w:rPr>
                        <w:t xml:space="preserve">due  to not replacing of a large number of </w:t>
                      </w:r>
                      <w:r>
                        <w:rPr>
                          <w:sz w:val="20"/>
                          <w:szCs w:val="20"/>
                          <w:lang w:val="en-GB"/>
                        </w:rPr>
                        <w:t>expired</w:t>
                      </w:r>
                      <w:r w:rsidRPr="00716595">
                        <w:rPr>
                          <w:sz w:val="20"/>
                          <w:szCs w:val="20"/>
                          <w:lang w:val="en-GB"/>
                        </w:rPr>
                        <w:t xml:space="preserve"> light bulbs in 2015 within the context of the by end 2015 introduced light management </w:t>
                      </w:r>
                      <w:r w:rsidR="003B453C">
                        <w:rPr>
                          <w:sz w:val="20"/>
                          <w:szCs w:val="20"/>
                          <w:lang w:val="en-GB"/>
                        </w:rPr>
                        <w:t>.</w:t>
                      </w:r>
                      <w:r w:rsidRPr="00716595">
                        <w:rPr>
                          <w:sz w:val="20"/>
                          <w:szCs w:val="20"/>
                          <w:lang w:val="en-GB"/>
                        </w:rPr>
                        <w:t xml:space="preserve"> </w:t>
                      </w:r>
                    </w:p>
                    <w:p w:rsidR="000012EC" w:rsidRPr="00716595" w:rsidRDefault="000012EC" w:rsidP="000012EC">
                      <w:pPr>
                        <w:rPr>
                          <w:sz w:val="20"/>
                          <w:szCs w:val="20"/>
                          <w:lang w:val="en-GB"/>
                        </w:rPr>
                      </w:pPr>
                      <w:r w:rsidRPr="00716595">
                        <w:rPr>
                          <w:b/>
                          <w:sz w:val="20"/>
                          <w:szCs w:val="20"/>
                          <w:lang w:val="en-GB"/>
                        </w:rPr>
                        <w:t>Group 51</w:t>
                      </w:r>
                      <w:r w:rsidRPr="00716595">
                        <w:rPr>
                          <w:sz w:val="20"/>
                          <w:szCs w:val="20"/>
                          <w:lang w:val="en-GB"/>
                        </w:rPr>
                        <w:t xml:space="preserve">: Structural decrease with effect from 2015 due to changed policy.  Before 2015 it was common practice  on the market to charge tenants  with 35% of the costs  for maintenance contracts for heating systems with a 24 hour service component.  The authoritative  committee  for tenant issues in the Netherlands has decided  to  limit the costs for tenants down to 20% of the sum for central heating system 24 hour service contracts from 2015 onwards. </w:t>
                      </w:r>
                    </w:p>
                    <w:p w:rsidR="000012EC" w:rsidRPr="0063268C" w:rsidRDefault="000012EC" w:rsidP="000012EC">
                      <w:pPr>
                        <w:rPr>
                          <w:color w:val="FF0000"/>
                          <w:sz w:val="20"/>
                          <w:szCs w:val="20"/>
                          <w:lang w:val="en-GB"/>
                        </w:rPr>
                      </w:pPr>
                      <w:r w:rsidRPr="0063268C">
                        <w:rPr>
                          <w:b/>
                          <w:color w:val="FF0000"/>
                          <w:sz w:val="20"/>
                          <w:szCs w:val="20"/>
                          <w:lang w:val="en-GB"/>
                        </w:rPr>
                        <w:t>Group 53</w:t>
                      </w:r>
                      <w:r w:rsidRPr="0063268C">
                        <w:rPr>
                          <w:color w:val="FF0000"/>
                          <w:sz w:val="20"/>
                          <w:szCs w:val="20"/>
                          <w:lang w:val="en-GB"/>
                        </w:rPr>
                        <w:t xml:space="preserve">: The amount stated in the table is a provisional figure  which will be reduced with  the costs paid in 2015 for periodical certification of the elevators.  These latter costs are not chargeable to  tenants but are 100% costs for the owner of the building.  It is expected that these costs amount to  approximately 200 euro which after subtraction will neutralize  the difference in costs with 2014. </w:t>
                      </w:r>
                    </w:p>
                    <w:p w:rsidR="000012EC" w:rsidRPr="00716595" w:rsidRDefault="000012EC" w:rsidP="000012EC">
                      <w:pPr>
                        <w:rPr>
                          <w:sz w:val="20"/>
                          <w:szCs w:val="20"/>
                          <w:lang w:val="en-GB"/>
                        </w:rPr>
                      </w:pPr>
                      <w:r w:rsidRPr="00716595">
                        <w:rPr>
                          <w:sz w:val="20"/>
                          <w:szCs w:val="20"/>
                          <w:lang w:val="en-GB"/>
                        </w:rPr>
                        <w:t xml:space="preserve">Achieved savings  in </w:t>
                      </w:r>
                      <w:r w:rsidRPr="00716595">
                        <w:rPr>
                          <w:b/>
                          <w:sz w:val="20"/>
                          <w:szCs w:val="20"/>
                          <w:lang w:val="en-GB"/>
                        </w:rPr>
                        <w:t>group 58</w:t>
                      </w:r>
                      <w:r w:rsidRPr="00716595">
                        <w:rPr>
                          <w:sz w:val="20"/>
                          <w:szCs w:val="20"/>
                          <w:lang w:val="en-GB"/>
                        </w:rPr>
                        <w:t xml:space="preserve"> (replacement of bulbs)  due to by end of 2015 introduced light management  amongst other based on  the principle of self-replacement and self-repair if possible by  a small tenants committee working group. </w:t>
                      </w:r>
                    </w:p>
                    <w:p w:rsidR="00BF3997" w:rsidRPr="00836879" w:rsidRDefault="00BF3997" w:rsidP="00836879">
                      <w:pPr>
                        <w:rPr>
                          <w:color w:val="000000" w:themeColor="text1"/>
                          <w:lang w:val="en-GB"/>
                        </w:rPr>
                      </w:pPr>
                    </w:p>
                    <w:p w:rsidR="0066051F" w:rsidRPr="00836879" w:rsidRDefault="0066051F">
                      <w:pPr>
                        <w:rPr>
                          <w:color w:val="000000" w:themeColor="text1"/>
                          <w:lang w:val="en-GB"/>
                        </w:rPr>
                      </w:pPr>
                    </w:p>
                  </w:txbxContent>
                </v:textbox>
                <w10:wrap type="square" anchorx="margin" anchory="margin"/>
              </v:shape>
            </w:pict>
          </mc:Fallback>
        </mc:AlternateContent>
      </w:r>
      <w:r w:rsidR="000012EC">
        <w:rPr>
          <w:noProof/>
          <w:lang w:eastAsia="nl-NL"/>
        </w:rPr>
        <mc:AlternateContent>
          <mc:Choice Requires="wps">
            <w:drawing>
              <wp:anchor distT="91440" distB="91440" distL="457200" distR="91440" simplePos="0" relativeHeight="251659264" behindDoc="1" locked="0" layoutInCell="0" allowOverlap="1" wp14:anchorId="4310C2C6" wp14:editId="750D0BFB">
                <wp:simplePos x="0" y="0"/>
                <wp:positionH relativeFrom="margin">
                  <wp:posOffset>-790575</wp:posOffset>
                </wp:positionH>
                <wp:positionV relativeFrom="margin">
                  <wp:posOffset>-459740</wp:posOffset>
                </wp:positionV>
                <wp:extent cx="1436370" cy="5953125"/>
                <wp:effectExtent l="0" t="76200" r="49530" b="85725"/>
                <wp:wrapThrough wrapText="bothSides">
                  <wp:wrapPolygon edited="0">
                    <wp:start x="19767" y="-276"/>
                    <wp:lineTo x="859" y="-69"/>
                    <wp:lineTo x="859" y="21012"/>
                    <wp:lineTo x="17475" y="21704"/>
                    <wp:lineTo x="20053" y="21842"/>
                    <wp:lineTo x="21772" y="21842"/>
                    <wp:lineTo x="22058" y="20943"/>
                    <wp:lineTo x="22058" y="-138"/>
                    <wp:lineTo x="21772" y="-276"/>
                    <wp:lineTo x="19767" y="-276"/>
                  </wp:wrapPolygon>
                </wp:wrapThrough>
                <wp:docPr id="702" name="AutoV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6370" cy="5953125"/>
                        </a:xfrm>
                        <a:prstGeom prst="roundRect">
                          <a:avLst>
                            <a:gd name="adj" fmla="val 3731"/>
                          </a:avLst>
                        </a:prstGeom>
                        <a:solidFill>
                          <a:srgbClr val="D3DFEE"/>
                        </a:solidFill>
                        <a:scene3d>
                          <a:camera prst="perspectiveLeft"/>
                          <a:lightRig rig="threePt" dir="t"/>
                        </a:scene3d>
                        <a:sp3d>
                          <a:bevelT w="139700" h="139700" prst="divot"/>
                        </a:sp3d>
                        <a:extLst>
                          <a:ext uri="{91240B29-F687-4F45-9708-019B960494DF}">
                            <a14:hiddenLine xmlns:a14="http://schemas.microsoft.com/office/drawing/2010/main" w="12700">
                              <a:solidFill>
                                <a:srgbClr val="E36C0A"/>
                              </a:solidFill>
                              <a:round/>
                              <a:headEnd/>
                              <a:tailEnd/>
                            </a14:hiddenLine>
                          </a:ext>
                          <a:ext uri="{AF507438-7753-43E0-B8FC-AC1667EBCBE1}">
                            <a14:hiddenEffects xmlns:a14="http://schemas.microsoft.com/office/drawing/2010/main">
                              <a:effectLst>
                                <a:outerShdw dist="1562100" dir="16200000" sy="-100000" rotWithShape="0">
                                  <a:srgbClr val="31849B"/>
                                </a:outerShdw>
                              </a:effectLst>
                            </a14:hiddenEffects>
                          </a:ext>
                        </a:extLst>
                      </wps:spPr>
                      <wps:txbx>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7D8901C9" wp14:editId="0C167CAD">
                                  <wp:extent cx="944166" cy="1212574"/>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420" cy="1216753"/>
                                          </a:xfrm>
                                          <a:prstGeom prst="rect">
                                            <a:avLst/>
                                          </a:prstGeom>
                                          <a:noFill/>
                                          <a:ln>
                                            <a:noFill/>
                                          </a:ln>
                                          <a:effectLst/>
                                          <a:extLst/>
                                        </pic:spPr>
                                      </pic:pic>
                                    </a:graphicData>
                                  </a:graphic>
                                </wp:inline>
                              </w:drawing>
                            </w:r>
                          </w:p>
                          <w:p w:rsidR="004D53EB" w:rsidRPr="006336F0" w:rsidRDefault="006336F0" w:rsidP="00055D12">
                            <w:pPr>
                              <w:jc w:val="center"/>
                              <w:rPr>
                                <w:color w:val="4F81BD" w:themeColor="accent1"/>
                                <w:sz w:val="20"/>
                                <w:lang w:val="en-GB"/>
                              </w:rPr>
                            </w:pPr>
                            <w:proofErr w:type="spellStart"/>
                            <w:r w:rsidRPr="006336F0">
                              <w:rPr>
                                <w:b/>
                                <w:color w:val="4F81BD" w:themeColor="accent1"/>
                                <w:sz w:val="20"/>
                                <w:lang w:val="en-GB"/>
                              </w:rPr>
                              <w:t>Warande</w:t>
                            </w:r>
                            <w:proofErr w:type="spellEnd"/>
                            <w:r w:rsidRPr="006336F0">
                              <w:rPr>
                                <w:b/>
                                <w:color w:val="4F81BD" w:themeColor="accent1"/>
                                <w:sz w:val="20"/>
                                <w:lang w:val="en-GB"/>
                              </w:rPr>
                              <w:t xml:space="preserve"> Sounds</w:t>
                            </w:r>
                            <w:r w:rsidRPr="006336F0">
                              <w:rPr>
                                <w:color w:val="4F81BD" w:themeColor="accent1"/>
                                <w:sz w:val="20"/>
                                <w:lang w:val="en-GB"/>
                              </w:rPr>
                              <w:t xml:space="preserve"> communicate  concise new items</w:t>
                            </w:r>
                            <w:r w:rsidR="004A16EA" w:rsidRPr="006336F0">
                              <w:rPr>
                                <w:color w:val="4F81BD" w:themeColor="accent1"/>
                                <w:sz w:val="20"/>
                                <w:lang w:val="en-GB"/>
                              </w:rPr>
                              <w:t xml:space="preserve"> </w:t>
                            </w:r>
                            <w:r>
                              <w:rPr>
                                <w:color w:val="4F81BD" w:themeColor="accent1"/>
                                <w:sz w:val="20"/>
                                <w:lang w:val="en-GB"/>
                              </w:rPr>
                              <w:t xml:space="preserve"> of  Soundboard </w:t>
                            </w:r>
                            <w:proofErr w:type="spellStart"/>
                            <w:r w:rsidR="004D53EB" w:rsidRPr="006336F0">
                              <w:rPr>
                                <w:color w:val="4F81BD" w:themeColor="accent1"/>
                                <w:sz w:val="20"/>
                                <w:lang w:val="en-GB"/>
                              </w:rPr>
                              <w:t>Warande</w:t>
                            </w:r>
                            <w:proofErr w:type="spellEnd"/>
                            <w:r w:rsidR="004D53EB" w:rsidRPr="006336F0">
                              <w:rPr>
                                <w:color w:val="4F81BD" w:themeColor="accent1"/>
                                <w:sz w:val="20"/>
                                <w:lang w:val="en-GB"/>
                              </w:rPr>
                              <w:t>.</w:t>
                            </w:r>
                          </w:p>
                          <w:p w:rsidR="004D53EB" w:rsidRPr="006336F0" w:rsidRDefault="006336F0" w:rsidP="00055D12">
                            <w:pPr>
                              <w:jc w:val="center"/>
                              <w:rPr>
                                <w:color w:val="4F81BD" w:themeColor="accent1"/>
                                <w:sz w:val="20"/>
                                <w:lang w:val="en-GB"/>
                              </w:rPr>
                            </w:pPr>
                            <w:r w:rsidRPr="006336F0">
                              <w:rPr>
                                <w:color w:val="4F81BD" w:themeColor="accent1"/>
                                <w:sz w:val="20"/>
                                <w:lang w:val="en-GB"/>
                              </w:rPr>
                              <w:t xml:space="preserve">Publication is </w:t>
                            </w:r>
                            <w:r w:rsidR="002A2717" w:rsidRPr="006336F0">
                              <w:rPr>
                                <w:color w:val="4F81BD" w:themeColor="accent1"/>
                                <w:sz w:val="20"/>
                                <w:lang w:val="en-GB"/>
                              </w:rPr>
                              <w:t>irregu</w:t>
                            </w:r>
                            <w:r w:rsidR="002A2717">
                              <w:rPr>
                                <w:color w:val="4F81BD" w:themeColor="accent1"/>
                                <w:sz w:val="20"/>
                                <w:lang w:val="en-GB"/>
                              </w:rPr>
                              <w:t>l</w:t>
                            </w:r>
                            <w:r w:rsidR="002A2717" w:rsidRPr="006336F0">
                              <w:rPr>
                                <w:color w:val="4F81BD" w:themeColor="accent1"/>
                                <w:sz w:val="20"/>
                                <w:lang w:val="en-GB"/>
                              </w:rPr>
                              <w:t>a</w:t>
                            </w:r>
                            <w:r w:rsidR="002A2717">
                              <w:rPr>
                                <w:color w:val="4F81BD" w:themeColor="accent1"/>
                                <w:sz w:val="20"/>
                                <w:lang w:val="en-GB"/>
                              </w:rPr>
                              <w:t>rly  based upon information provision needs</w:t>
                            </w:r>
                          </w:p>
                          <w:p w:rsidR="00542E27" w:rsidRDefault="00812B2E" w:rsidP="00055D12">
                            <w:pPr>
                              <w:jc w:val="center"/>
                              <w:rPr>
                                <w:color w:val="4F81BD" w:themeColor="accent1"/>
                                <w:sz w:val="20"/>
                                <w:lang w:val="en-GB"/>
                              </w:rPr>
                            </w:pPr>
                            <w:r>
                              <w:rPr>
                                <w:color w:val="4F81BD" w:themeColor="accent1"/>
                                <w:sz w:val="20"/>
                                <w:lang w:val="en-GB"/>
                              </w:rPr>
                              <w:t>Published numbers</w:t>
                            </w:r>
                            <w:r w:rsidR="006336F0" w:rsidRPr="006336F0">
                              <w:rPr>
                                <w:color w:val="4F81BD" w:themeColor="accent1"/>
                                <w:sz w:val="20"/>
                                <w:lang w:val="en-GB"/>
                              </w:rPr>
                              <w:t xml:space="preserve">  will be archived on the </w:t>
                            </w:r>
                            <w:r w:rsidR="006336F0">
                              <w:rPr>
                                <w:color w:val="4F81BD" w:themeColor="accent1"/>
                                <w:sz w:val="20"/>
                                <w:lang w:val="en-GB"/>
                              </w:rPr>
                              <w:t>website.</w:t>
                            </w:r>
                          </w:p>
                          <w:p w:rsidR="000012EC" w:rsidRPr="000012EC" w:rsidRDefault="000012EC" w:rsidP="000012EC">
                            <w:pPr>
                              <w:jc w:val="center"/>
                              <w:rPr>
                                <w:color w:val="4F81BD" w:themeColor="accent1"/>
                                <w:sz w:val="18"/>
                                <w:szCs w:val="18"/>
                                <w:lang w:val="en-GB"/>
                              </w:rPr>
                            </w:pPr>
                            <w:r w:rsidRPr="000012EC">
                              <w:rPr>
                                <w:color w:val="4F81BD" w:themeColor="accent1"/>
                                <w:sz w:val="18"/>
                                <w:szCs w:val="18"/>
                                <w:lang w:val="en-GB"/>
                              </w:rPr>
                              <w:t>www.</w:t>
                            </w:r>
                            <w:r w:rsidRPr="000012EC">
                              <w:rPr>
                                <w:color w:val="4F81BD" w:themeColor="accent1"/>
                                <w:sz w:val="18"/>
                                <w:szCs w:val="18"/>
                                <w:lang w:val="en-GB"/>
                              </w:rPr>
                              <w:br/>
                            </w:r>
                            <w:proofErr w:type="spellStart"/>
                            <w:r w:rsidRPr="000012EC">
                              <w:rPr>
                                <w:color w:val="4F81BD" w:themeColor="accent1"/>
                                <w:sz w:val="18"/>
                                <w:szCs w:val="18"/>
                                <w:lang w:val="en-GB"/>
                              </w:rPr>
                              <w:t>klankbordwarande</w:t>
                            </w:r>
                            <w:proofErr w:type="spellEnd"/>
                            <w:r>
                              <w:rPr>
                                <w:color w:val="4F81BD" w:themeColor="accent1"/>
                                <w:sz w:val="18"/>
                                <w:szCs w:val="18"/>
                                <w:lang w:val="en-GB"/>
                              </w:rPr>
                              <w:t>.</w:t>
                            </w:r>
                            <w:r>
                              <w:rPr>
                                <w:color w:val="4F81BD" w:themeColor="accent1"/>
                                <w:sz w:val="18"/>
                                <w:szCs w:val="18"/>
                                <w:lang w:val="en-GB"/>
                              </w:rPr>
                              <w:br/>
                              <w:t>jouwweb.nl</w:t>
                            </w:r>
                          </w:p>
                          <w:p w:rsidR="00542E27" w:rsidRPr="00055D12" w:rsidRDefault="00055D12" w:rsidP="00055D12">
                            <w:pPr>
                              <w:jc w:val="center"/>
                              <w:rPr>
                                <w:color w:val="4F81BD" w:themeColor="accent1"/>
                                <w:sz w:val="18"/>
                                <w:szCs w:val="18"/>
                                <w:lang w:val="en-GB"/>
                              </w:rPr>
                            </w:pPr>
                            <w:r>
                              <w:rPr>
                                <w:color w:val="4F81BD" w:themeColor="accent1"/>
                                <w:sz w:val="18"/>
                                <w:szCs w:val="18"/>
                                <w:lang w:val="en-GB"/>
                              </w:rPr>
                              <w:t>www.</w:t>
                            </w:r>
                            <w:r>
                              <w:rPr>
                                <w:color w:val="4F81BD" w:themeColor="accent1"/>
                                <w:sz w:val="18"/>
                                <w:szCs w:val="18"/>
                                <w:lang w:val="en-GB"/>
                              </w:rPr>
                              <w:br/>
                            </w:r>
                            <w:proofErr w:type="spellStart"/>
                            <w:r>
                              <w:rPr>
                                <w:color w:val="4F81BD" w:themeColor="accent1"/>
                                <w:sz w:val="18"/>
                                <w:szCs w:val="18"/>
                                <w:lang w:val="en-GB"/>
                              </w:rPr>
                              <w:t>zuiderparkbc</w:t>
                            </w:r>
                            <w:proofErr w:type="spellEnd"/>
                            <w:r>
                              <w:rPr>
                                <w:color w:val="4F81BD" w:themeColor="accent1"/>
                                <w:sz w:val="18"/>
                                <w:szCs w:val="18"/>
                                <w:lang w:val="en-GB"/>
                              </w:rPr>
                              <w:t>.</w:t>
                            </w:r>
                            <w:r>
                              <w:rPr>
                                <w:color w:val="4F81BD" w:themeColor="accent1"/>
                                <w:sz w:val="18"/>
                                <w:szCs w:val="18"/>
                                <w:lang w:val="en-GB"/>
                              </w:rPr>
                              <w:br/>
                              <w:t>jouwweb.nl</w:t>
                            </w:r>
                          </w:p>
                          <w:p w:rsidR="00542E27" w:rsidRPr="006336F0" w:rsidRDefault="00542E27" w:rsidP="004D53EB">
                            <w:pPr>
                              <w:rPr>
                                <w:color w:val="4F81BD" w:themeColor="accent1"/>
                                <w:sz w:val="20"/>
                                <w:lang w:val="en-GB"/>
                              </w:rPr>
                            </w:pPr>
                          </w:p>
                          <w:p w:rsidR="00C04EA6" w:rsidRPr="006336F0" w:rsidRDefault="00C04EA6" w:rsidP="004D53EB">
                            <w:pPr>
                              <w:rPr>
                                <w:color w:val="4F81BD" w:themeColor="accent1"/>
                                <w:sz w:val="20"/>
                                <w:lang w:val="en-GB"/>
                              </w:rPr>
                            </w:pPr>
                          </w:p>
                          <w:p w:rsidR="004D53EB" w:rsidRPr="006336F0" w:rsidRDefault="004D53EB" w:rsidP="004D53EB">
                            <w:pPr>
                              <w:rPr>
                                <w:color w:val="4F81BD" w:themeColor="accent1"/>
                                <w:sz w:val="18"/>
                                <w:szCs w:val="18"/>
                                <w:lang w:val="en-GB"/>
                              </w:rPr>
                            </w:pPr>
                          </w:p>
                        </w:txbxContent>
                      </wps:txbx>
                      <wps:bodyPr rot="0" vert="horz" wrap="square" lIns="274320" tIns="274320" rIns="182880" bIns="91440" anchor="t" anchorCtr="0" upright="1">
                        <a:noAutofit/>
                        <a:flatTx/>
                      </wps:bodyPr>
                    </wps:wsp>
                  </a:graphicData>
                </a:graphic>
                <wp14:sizeRelH relativeFrom="margin">
                  <wp14:pctWidth>0</wp14:pctWidth>
                </wp14:sizeRelH>
                <wp14:sizeRelV relativeFrom="margin">
                  <wp14:pctHeight>0</wp14:pctHeight>
                </wp14:sizeRelV>
              </wp:anchor>
            </w:drawing>
          </mc:Choice>
          <mc:Fallback>
            <w:pict>
              <v:roundrect id="AutoVorm 401" o:spid="_x0000_s1028" style="position:absolute;margin-left:-62.25pt;margin-top:-36.2pt;width:113.1pt;height:468.75pt;flip:y;z-index:-251657216;visibility:visible;mso-wrap-style:square;mso-width-percent:0;mso-height-percent:0;mso-wrap-distance-left:36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" o:allowincell="f" fillcolor="#d3dfee" stroked="f" strokecolor="#e36c0a" strokeweight="1pt">
                <v:shadow type="perspective" color="#31849b" origin=",.5" offset="0,-123pt" matrix=",,,-1"/>
                <v:textbox inset="21.6pt,21.6pt,14.4pt,7.2pt">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7D8901C9" wp14:editId="0C167CAD">
                            <wp:extent cx="944166" cy="1212574"/>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420" cy="1216753"/>
                                    </a:xfrm>
                                    <a:prstGeom prst="rect">
                                      <a:avLst/>
                                    </a:prstGeom>
                                    <a:noFill/>
                                    <a:ln>
                                      <a:noFill/>
                                    </a:ln>
                                    <a:effectLst/>
                                    <a:extLst/>
                                  </pic:spPr>
                                </pic:pic>
                              </a:graphicData>
                            </a:graphic>
                          </wp:inline>
                        </w:drawing>
                      </w:r>
                    </w:p>
                    <w:p w:rsidR="004D53EB" w:rsidRPr="006336F0" w:rsidRDefault="006336F0" w:rsidP="00055D12">
                      <w:pPr>
                        <w:jc w:val="center"/>
                        <w:rPr>
                          <w:color w:val="4F81BD" w:themeColor="accent1"/>
                          <w:sz w:val="20"/>
                          <w:lang w:val="en-GB"/>
                        </w:rPr>
                      </w:pPr>
                      <w:proofErr w:type="spellStart"/>
                      <w:r w:rsidRPr="006336F0">
                        <w:rPr>
                          <w:b/>
                          <w:color w:val="4F81BD" w:themeColor="accent1"/>
                          <w:sz w:val="20"/>
                          <w:lang w:val="en-GB"/>
                        </w:rPr>
                        <w:t>Warande</w:t>
                      </w:r>
                      <w:proofErr w:type="spellEnd"/>
                      <w:r w:rsidRPr="006336F0">
                        <w:rPr>
                          <w:b/>
                          <w:color w:val="4F81BD" w:themeColor="accent1"/>
                          <w:sz w:val="20"/>
                          <w:lang w:val="en-GB"/>
                        </w:rPr>
                        <w:t xml:space="preserve"> Sounds</w:t>
                      </w:r>
                      <w:r w:rsidRPr="006336F0">
                        <w:rPr>
                          <w:color w:val="4F81BD" w:themeColor="accent1"/>
                          <w:sz w:val="20"/>
                          <w:lang w:val="en-GB"/>
                        </w:rPr>
                        <w:t xml:space="preserve"> communicate  concise new items</w:t>
                      </w:r>
                      <w:r w:rsidR="004A16EA" w:rsidRPr="006336F0">
                        <w:rPr>
                          <w:color w:val="4F81BD" w:themeColor="accent1"/>
                          <w:sz w:val="20"/>
                          <w:lang w:val="en-GB"/>
                        </w:rPr>
                        <w:t xml:space="preserve"> </w:t>
                      </w:r>
                      <w:r>
                        <w:rPr>
                          <w:color w:val="4F81BD" w:themeColor="accent1"/>
                          <w:sz w:val="20"/>
                          <w:lang w:val="en-GB"/>
                        </w:rPr>
                        <w:t xml:space="preserve"> of  Soundboard </w:t>
                      </w:r>
                      <w:proofErr w:type="spellStart"/>
                      <w:r w:rsidR="004D53EB" w:rsidRPr="006336F0">
                        <w:rPr>
                          <w:color w:val="4F81BD" w:themeColor="accent1"/>
                          <w:sz w:val="20"/>
                          <w:lang w:val="en-GB"/>
                        </w:rPr>
                        <w:t>Warande</w:t>
                      </w:r>
                      <w:proofErr w:type="spellEnd"/>
                      <w:r w:rsidR="004D53EB" w:rsidRPr="006336F0">
                        <w:rPr>
                          <w:color w:val="4F81BD" w:themeColor="accent1"/>
                          <w:sz w:val="20"/>
                          <w:lang w:val="en-GB"/>
                        </w:rPr>
                        <w:t>.</w:t>
                      </w:r>
                    </w:p>
                    <w:p w:rsidR="004D53EB" w:rsidRPr="006336F0" w:rsidRDefault="006336F0" w:rsidP="00055D12">
                      <w:pPr>
                        <w:jc w:val="center"/>
                        <w:rPr>
                          <w:color w:val="4F81BD" w:themeColor="accent1"/>
                          <w:sz w:val="20"/>
                          <w:lang w:val="en-GB"/>
                        </w:rPr>
                      </w:pPr>
                      <w:r w:rsidRPr="006336F0">
                        <w:rPr>
                          <w:color w:val="4F81BD" w:themeColor="accent1"/>
                          <w:sz w:val="20"/>
                          <w:lang w:val="en-GB"/>
                        </w:rPr>
                        <w:t xml:space="preserve">Publication is </w:t>
                      </w:r>
                      <w:r w:rsidR="002A2717" w:rsidRPr="006336F0">
                        <w:rPr>
                          <w:color w:val="4F81BD" w:themeColor="accent1"/>
                          <w:sz w:val="20"/>
                          <w:lang w:val="en-GB"/>
                        </w:rPr>
                        <w:t>irregu</w:t>
                      </w:r>
                      <w:r w:rsidR="002A2717">
                        <w:rPr>
                          <w:color w:val="4F81BD" w:themeColor="accent1"/>
                          <w:sz w:val="20"/>
                          <w:lang w:val="en-GB"/>
                        </w:rPr>
                        <w:t>l</w:t>
                      </w:r>
                      <w:r w:rsidR="002A2717" w:rsidRPr="006336F0">
                        <w:rPr>
                          <w:color w:val="4F81BD" w:themeColor="accent1"/>
                          <w:sz w:val="20"/>
                          <w:lang w:val="en-GB"/>
                        </w:rPr>
                        <w:t>a</w:t>
                      </w:r>
                      <w:r w:rsidR="002A2717">
                        <w:rPr>
                          <w:color w:val="4F81BD" w:themeColor="accent1"/>
                          <w:sz w:val="20"/>
                          <w:lang w:val="en-GB"/>
                        </w:rPr>
                        <w:t>rly  based upon information provision needs</w:t>
                      </w:r>
                    </w:p>
                    <w:p w:rsidR="00542E27" w:rsidRDefault="00812B2E" w:rsidP="00055D12">
                      <w:pPr>
                        <w:jc w:val="center"/>
                        <w:rPr>
                          <w:color w:val="4F81BD" w:themeColor="accent1"/>
                          <w:sz w:val="20"/>
                          <w:lang w:val="en-GB"/>
                        </w:rPr>
                      </w:pPr>
                      <w:r>
                        <w:rPr>
                          <w:color w:val="4F81BD" w:themeColor="accent1"/>
                          <w:sz w:val="20"/>
                          <w:lang w:val="en-GB"/>
                        </w:rPr>
                        <w:t>Published numbers</w:t>
                      </w:r>
                      <w:r w:rsidR="006336F0" w:rsidRPr="006336F0">
                        <w:rPr>
                          <w:color w:val="4F81BD" w:themeColor="accent1"/>
                          <w:sz w:val="20"/>
                          <w:lang w:val="en-GB"/>
                        </w:rPr>
                        <w:t xml:space="preserve">  will be archived on the </w:t>
                      </w:r>
                      <w:r w:rsidR="006336F0">
                        <w:rPr>
                          <w:color w:val="4F81BD" w:themeColor="accent1"/>
                          <w:sz w:val="20"/>
                          <w:lang w:val="en-GB"/>
                        </w:rPr>
                        <w:t>website.</w:t>
                      </w:r>
                    </w:p>
                    <w:p w:rsidR="000012EC" w:rsidRPr="000012EC" w:rsidRDefault="000012EC" w:rsidP="000012EC">
                      <w:pPr>
                        <w:jc w:val="center"/>
                        <w:rPr>
                          <w:color w:val="4F81BD" w:themeColor="accent1"/>
                          <w:sz w:val="18"/>
                          <w:szCs w:val="18"/>
                          <w:lang w:val="en-GB"/>
                        </w:rPr>
                      </w:pPr>
                      <w:r w:rsidRPr="000012EC">
                        <w:rPr>
                          <w:color w:val="4F81BD" w:themeColor="accent1"/>
                          <w:sz w:val="18"/>
                          <w:szCs w:val="18"/>
                          <w:lang w:val="en-GB"/>
                        </w:rPr>
                        <w:t>www.</w:t>
                      </w:r>
                      <w:r w:rsidRPr="000012EC">
                        <w:rPr>
                          <w:color w:val="4F81BD" w:themeColor="accent1"/>
                          <w:sz w:val="18"/>
                          <w:szCs w:val="18"/>
                          <w:lang w:val="en-GB"/>
                        </w:rPr>
                        <w:br/>
                      </w:r>
                      <w:proofErr w:type="spellStart"/>
                      <w:r w:rsidRPr="000012EC">
                        <w:rPr>
                          <w:color w:val="4F81BD" w:themeColor="accent1"/>
                          <w:sz w:val="18"/>
                          <w:szCs w:val="18"/>
                          <w:lang w:val="en-GB"/>
                        </w:rPr>
                        <w:t>klankbordwarande</w:t>
                      </w:r>
                      <w:proofErr w:type="spellEnd"/>
                      <w:r>
                        <w:rPr>
                          <w:color w:val="4F81BD" w:themeColor="accent1"/>
                          <w:sz w:val="18"/>
                          <w:szCs w:val="18"/>
                          <w:lang w:val="en-GB"/>
                        </w:rPr>
                        <w:t>.</w:t>
                      </w:r>
                      <w:r>
                        <w:rPr>
                          <w:color w:val="4F81BD" w:themeColor="accent1"/>
                          <w:sz w:val="18"/>
                          <w:szCs w:val="18"/>
                          <w:lang w:val="en-GB"/>
                        </w:rPr>
                        <w:br/>
                        <w:t>jouwweb.nl</w:t>
                      </w:r>
                    </w:p>
                    <w:p w:rsidR="00542E27" w:rsidRPr="00055D12" w:rsidRDefault="00055D12" w:rsidP="00055D12">
                      <w:pPr>
                        <w:jc w:val="center"/>
                        <w:rPr>
                          <w:color w:val="4F81BD" w:themeColor="accent1"/>
                          <w:sz w:val="18"/>
                          <w:szCs w:val="18"/>
                          <w:lang w:val="en-GB"/>
                        </w:rPr>
                      </w:pPr>
                      <w:r>
                        <w:rPr>
                          <w:color w:val="4F81BD" w:themeColor="accent1"/>
                          <w:sz w:val="18"/>
                          <w:szCs w:val="18"/>
                          <w:lang w:val="en-GB"/>
                        </w:rPr>
                        <w:t>www.</w:t>
                      </w:r>
                      <w:r>
                        <w:rPr>
                          <w:color w:val="4F81BD" w:themeColor="accent1"/>
                          <w:sz w:val="18"/>
                          <w:szCs w:val="18"/>
                          <w:lang w:val="en-GB"/>
                        </w:rPr>
                        <w:br/>
                      </w:r>
                      <w:proofErr w:type="spellStart"/>
                      <w:r>
                        <w:rPr>
                          <w:color w:val="4F81BD" w:themeColor="accent1"/>
                          <w:sz w:val="18"/>
                          <w:szCs w:val="18"/>
                          <w:lang w:val="en-GB"/>
                        </w:rPr>
                        <w:t>zuiderparkbc</w:t>
                      </w:r>
                      <w:proofErr w:type="spellEnd"/>
                      <w:r>
                        <w:rPr>
                          <w:color w:val="4F81BD" w:themeColor="accent1"/>
                          <w:sz w:val="18"/>
                          <w:szCs w:val="18"/>
                          <w:lang w:val="en-GB"/>
                        </w:rPr>
                        <w:t>.</w:t>
                      </w:r>
                      <w:r>
                        <w:rPr>
                          <w:color w:val="4F81BD" w:themeColor="accent1"/>
                          <w:sz w:val="18"/>
                          <w:szCs w:val="18"/>
                          <w:lang w:val="en-GB"/>
                        </w:rPr>
                        <w:br/>
                        <w:t>jouwweb.nl</w:t>
                      </w:r>
                    </w:p>
                    <w:p w:rsidR="00542E27" w:rsidRPr="006336F0" w:rsidRDefault="00542E27" w:rsidP="004D53EB">
                      <w:pPr>
                        <w:rPr>
                          <w:color w:val="4F81BD" w:themeColor="accent1"/>
                          <w:sz w:val="20"/>
                          <w:lang w:val="en-GB"/>
                        </w:rPr>
                      </w:pPr>
                    </w:p>
                    <w:p w:rsidR="00C04EA6" w:rsidRPr="006336F0" w:rsidRDefault="00C04EA6" w:rsidP="004D53EB">
                      <w:pPr>
                        <w:rPr>
                          <w:color w:val="4F81BD" w:themeColor="accent1"/>
                          <w:sz w:val="20"/>
                          <w:lang w:val="en-GB"/>
                        </w:rPr>
                      </w:pPr>
                    </w:p>
                    <w:p w:rsidR="004D53EB" w:rsidRPr="006336F0" w:rsidRDefault="004D53EB" w:rsidP="004D53EB">
                      <w:pPr>
                        <w:rPr>
                          <w:color w:val="4F81BD" w:themeColor="accent1"/>
                          <w:sz w:val="18"/>
                          <w:szCs w:val="18"/>
                          <w:lang w:val="en-GB"/>
                        </w:rPr>
                      </w:pPr>
                    </w:p>
                  </w:txbxContent>
                </v:textbox>
                <w10:wrap type="through" anchorx="margin" anchory="margin"/>
              </v:roundrect>
            </w:pict>
          </mc:Fallback>
        </mc:AlternateContent>
      </w:r>
      <w:r w:rsidR="00B035AB">
        <w:rPr>
          <w:noProof/>
          <w:lang w:eastAsia="nl-NL"/>
        </w:rPr>
        <mc:AlternateContent>
          <mc:Choice Requires="wps">
            <w:drawing>
              <wp:anchor distT="0" distB="0" distL="114300" distR="114300" simplePos="0" relativeHeight="251664384" behindDoc="0" locked="0" layoutInCell="1" allowOverlap="1" wp14:anchorId="1E5DA915" wp14:editId="0A2C503E">
                <wp:simplePos x="0" y="0"/>
                <wp:positionH relativeFrom="column">
                  <wp:posOffset>-1270</wp:posOffset>
                </wp:positionH>
                <wp:positionV relativeFrom="paragraph">
                  <wp:posOffset>-661670</wp:posOffset>
                </wp:positionV>
                <wp:extent cx="5694680" cy="629920"/>
                <wp:effectExtent l="0" t="0" r="0" b="0"/>
                <wp:wrapNone/>
                <wp:docPr id="1" name="Tekstvak 1"/>
                <wp:cNvGraphicFramePr/>
                <a:graphic xmlns:a="http://schemas.openxmlformats.org/drawingml/2006/main">
                  <a:graphicData uri="http://schemas.microsoft.com/office/word/2010/wordprocessingShape">
                    <wps:wsp>
                      <wps:cNvSpPr txBox="1"/>
                      <wps:spPr>
                        <a:xfrm>
                          <a:off x="0" y="0"/>
                          <a:ext cx="5694680" cy="629920"/>
                        </a:xfrm>
                        <a:prstGeom prst="rect">
                          <a:avLst/>
                        </a:prstGeom>
                        <a:noFill/>
                        <a:ln>
                          <a:noFill/>
                        </a:ln>
                        <a:effectLst/>
                      </wps:spPr>
                      <wps:txbx>
                        <w:txbxContent>
                          <w:p w:rsidR="00542E27" w:rsidRPr="00B86FD0" w:rsidRDefault="006336F0" w:rsidP="00542E27">
                            <w:pPr>
                              <w:jc w:val="center"/>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Sounds - 2016 no</w:t>
                            </w:r>
                            <w:r w:rsidR="00B035AB">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t>
                            </w:r>
                            <w:r w:rsidR="000C2B62">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2</w:t>
                            </w:r>
                            <w:r w:rsidR="00EB3730" w:rsidRPr="00B86FD0">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542E27" w:rsidRPr="00B86FD0">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o:spid="_x0000_s1029" type="#_x0000_t202" style="position:absolute;margin-left:-.1pt;margin-top:-52.1pt;width:448.4pt;height:4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" filled="f" stroked="f">
                <v:textbox>
                  <w:txbxContent>
                    <w:p w:rsidR="00542E27" w:rsidRPr="00B86FD0" w:rsidRDefault="006336F0" w:rsidP="00542E27">
                      <w:pPr>
                        <w:jc w:val="center"/>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Sounds - 2016 no</w:t>
                      </w:r>
                      <w:r w:rsidR="00B035AB">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t>
                      </w:r>
                      <w:r w:rsidR="000C2B62">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2</w:t>
                      </w:r>
                      <w:r w:rsidR="00EB3730" w:rsidRPr="00B86FD0">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542E27" w:rsidRPr="00B86FD0">
                        <w:rPr>
                          <w:b/>
                          <w:noProof/>
                          <w:color w:val="4F81BD" w:themeColor="accent1"/>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v:textbox>
              </v:shape>
            </w:pict>
          </mc:Fallback>
        </mc:AlternateContent>
      </w:r>
    </w:p>
    <w:sectPr w:rsidR="00F04E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175" w:rsidRDefault="007B5175" w:rsidP="00542E27">
      <w:pPr>
        <w:spacing w:after="0" w:line="240" w:lineRule="auto"/>
      </w:pPr>
      <w:r>
        <w:separator/>
      </w:r>
    </w:p>
  </w:endnote>
  <w:endnote w:type="continuationSeparator" w:id="0">
    <w:p w:rsidR="007B5175" w:rsidRDefault="007B5175" w:rsidP="0054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175" w:rsidRDefault="007B5175" w:rsidP="00542E27">
      <w:pPr>
        <w:spacing w:after="0" w:line="240" w:lineRule="auto"/>
      </w:pPr>
      <w:r>
        <w:separator/>
      </w:r>
    </w:p>
  </w:footnote>
  <w:footnote w:type="continuationSeparator" w:id="0">
    <w:p w:rsidR="007B5175" w:rsidRDefault="007B5175" w:rsidP="00542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EB"/>
    <w:rsid w:val="000012EC"/>
    <w:rsid w:val="00053C3B"/>
    <w:rsid w:val="00055D12"/>
    <w:rsid w:val="000C2B62"/>
    <w:rsid w:val="000D72DA"/>
    <w:rsid w:val="001B255D"/>
    <w:rsid w:val="001C6073"/>
    <w:rsid w:val="002659EA"/>
    <w:rsid w:val="002A2717"/>
    <w:rsid w:val="00344C9C"/>
    <w:rsid w:val="003B453C"/>
    <w:rsid w:val="00432AC3"/>
    <w:rsid w:val="00434335"/>
    <w:rsid w:val="004426D6"/>
    <w:rsid w:val="0046236A"/>
    <w:rsid w:val="004A16EA"/>
    <w:rsid w:val="004C2C22"/>
    <w:rsid w:val="004D53EB"/>
    <w:rsid w:val="004D7DF4"/>
    <w:rsid w:val="00503FBB"/>
    <w:rsid w:val="00541F70"/>
    <w:rsid w:val="00542E27"/>
    <w:rsid w:val="005530B2"/>
    <w:rsid w:val="005916C8"/>
    <w:rsid w:val="006123F1"/>
    <w:rsid w:val="0063268C"/>
    <w:rsid w:val="006336F0"/>
    <w:rsid w:val="00642767"/>
    <w:rsid w:val="00650F72"/>
    <w:rsid w:val="0066051F"/>
    <w:rsid w:val="006A67D4"/>
    <w:rsid w:val="00767FA0"/>
    <w:rsid w:val="007A1146"/>
    <w:rsid w:val="007A68F5"/>
    <w:rsid w:val="007B5175"/>
    <w:rsid w:val="00812B2E"/>
    <w:rsid w:val="00836879"/>
    <w:rsid w:val="008A1098"/>
    <w:rsid w:val="008F1ED8"/>
    <w:rsid w:val="00964798"/>
    <w:rsid w:val="009C7FAE"/>
    <w:rsid w:val="009F733C"/>
    <w:rsid w:val="00A33ED9"/>
    <w:rsid w:val="00B035AB"/>
    <w:rsid w:val="00B86FD0"/>
    <w:rsid w:val="00BD0971"/>
    <w:rsid w:val="00BF3997"/>
    <w:rsid w:val="00C04EA6"/>
    <w:rsid w:val="00C91B23"/>
    <w:rsid w:val="00CC5516"/>
    <w:rsid w:val="00CC6B30"/>
    <w:rsid w:val="00CD358B"/>
    <w:rsid w:val="00D23330"/>
    <w:rsid w:val="00DC7DA0"/>
    <w:rsid w:val="00E03A8E"/>
    <w:rsid w:val="00E44AE1"/>
    <w:rsid w:val="00E9207B"/>
    <w:rsid w:val="00EA7800"/>
    <w:rsid w:val="00EB3730"/>
    <w:rsid w:val="00ED2228"/>
    <w:rsid w:val="00EE653F"/>
    <w:rsid w:val="00F04EE9"/>
    <w:rsid w:val="00F6788C"/>
    <w:rsid w:val="00F90232"/>
    <w:rsid w:val="00FA6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6326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6326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5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lankbordwarande.jouwweb.nl/algemene-verlicht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klankbordwarande.jouwweb.nl/algemene-verlicht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F195D-02D8-497F-90A0-EE0BC525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0</Words>
  <Characters>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6</cp:revision>
  <dcterms:created xsi:type="dcterms:W3CDTF">2016-05-26T21:09:00Z</dcterms:created>
  <dcterms:modified xsi:type="dcterms:W3CDTF">2016-05-27T21:04:00Z</dcterms:modified>
</cp:coreProperties>
</file>